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2585F" w:rsidRPr="00F31152" w:rsidRDefault="00D2585F">
      <w:pPr>
        <w:keepNext/>
        <w:pBdr>
          <w:top w:val="nil"/>
          <w:left w:val="nil"/>
          <w:bottom w:val="nil"/>
          <w:right w:val="nil"/>
          <w:between w:val="nil"/>
        </w:pBdr>
        <w:ind w:left="0"/>
        <w:jc w:val="left"/>
        <w:rPr>
          <w:b/>
          <w:color w:val="000000"/>
          <w:sz w:val="32"/>
          <w:szCs w:val="32"/>
        </w:rPr>
      </w:pPr>
    </w:p>
    <w:p w14:paraId="00000002" w14:textId="77777777" w:rsidR="00D2585F" w:rsidRPr="00F31152" w:rsidRDefault="00665111">
      <w:pPr>
        <w:keepNext/>
        <w:pBdr>
          <w:top w:val="nil"/>
          <w:left w:val="nil"/>
          <w:bottom w:val="nil"/>
          <w:right w:val="nil"/>
          <w:between w:val="nil"/>
        </w:pBdr>
        <w:ind w:left="0"/>
        <w:jc w:val="left"/>
        <w:rPr>
          <w:b/>
          <w:color w:val="000000"/>
          <w:sz w:val="36"/>
          <w:szCs w:val="36"/>
        </w:rPr>
      </w:pPr>
      <w:r w:rsidRPr="00F31152">
        <w:rPr>
          <w:b/>
          <w:color w:val="000000"/>
          <w:sz w:val="36"/>
          <w:szCs w:val="36"/>
        </w:rPr>
        <w:t>Call-Off Schedule 8 (Business Continuity and Disaster Recovery)</w:t>
      </w:r>
    </w:p>
    <w:p w14:paraId="00000003"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sidRPr="00F31152">
        <w:rPr>
          <w:b/>
          <w:smallCaps/>
          <w:color w:val="000000"/>
          <w:sz w:val="24"/>
          <w:szCs w:val="24"/>
        </w:rPr>
        <w:t>D</w:t>
      </w:r>
      <w:r w:rsidRPr="00F31152">
        <w:rPr>
          <w:rFonts w:eastAsia="Arial Bold"/>
          <w:b/>
          <w:color w:val="000000"/>
          <w:sz w:val="24"/>
          <w:szCs w:val="24"/>
        </w:rPr>
        <w:t>efinitions</w:t>
      </w:r>
    </w:p>
    <w:p w14:paraId="00000004" w14:textId="50C5108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In this Schedule, the following words shall have the following meanings and they shall supplement Joint Schedule 1 (Definitions)</w:t>
      </w:r>
      <w:r w:rsidR="00D66B0B">
        <w:rPr>
          <w:color w:val="000000"/>
          <w:sz w:val="24"/>
          <w:szCs w:val="24"/>
        </w:rPr>
        <w:t>:</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D2585F" w:rsidRPr="00F31152" w14:paraId="7FF915C5" w14:textId="77777777">
        <w:tc>
          <w:tcPr>
            <w:tcW w:w="3097" w:type="dxa"/>
          </w:tcPr>
          <w:p w14:paraId="00000005"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"BCDR Plan"</w:t>
            </w:r>
          </w:p>
        </w:tc>
        <w:tc>
          <w:tcPr>
            <w:tcW w:w="5075" w:type="dxa"/>
          </w:tcPr>
          <w:p w14:paraId="00000006" w14:textId="77777777" w:rsidR="00D2585F" w:rsidRPr="00F31152" w:rsidRDefault="00665111" w:rsidP="006D186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2.2 of this Schedule;</w:t>
            </w:r>
          </w:p>
        </w:tc>
      </w:tr>
      <w:tr w:rsidR="00D2585F" w:rsidRPr="00F31152" w14:paraId="11C534C9" w14:textId="77777777">
        <w:tc>
          <w:tcPr>
            <w:tcW w:w="3097" w:type="dxa"/>
          </w:tcPr>
          <w:p w14:paraId="00000007"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"Business Continuity Plan"</w:t>
            </w:r>
          </w:p>
        </w:tc>
        <w:tc>
          <w:tcPr>
            <w:tcW w:w="5075" w:type="dxa"/>
          </w:tcPr>
          <w:p w14:paraId="00000008" w14:textId="77777777" w:rsidR="00D2585F" w:rsidRPr="00F31152" w:rsidRDefault="00665111" w:rsidP="006D186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2.3.2 of this Schedule;</w:t>
            </w:r>
          </w:p>
        </w:tc>
      </w:tr>
      <w:tr w:rsidR="00D2585F" w:rsidRPr="00F31152" w14:paraId="5586AD34" w14:textId="77777777">
        <w:tc>
          <w:tcPr>
            <w:tcW w:w="3097" w:type="dxa"/>
          </w:tcPr>
          <w:p w14:paraId="00000009"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w:t>
            </w:r>
          </w:p>
        </w:tc>
        <w:tc>
          <w:tcPr>
            <w:tcW w:w="5075" w:type="dxa"/>
          </w:tcPr>
          <w:p w14:paraId="0000000A" w14:textId="77777777" w:rsidR="00D2585F" w:rsidRPr="00F31152" w:rsidRDefault="00665111" w:rsidP="006D1863">
            <w:pPr>
              <w:pBdr>
                <w:top w:val="nil"/>
                <w:left w:val="nil"/>
                <w:bottom w:val="nil"/>
                <w:right w:val="nil"/>
                <w:between w:val="nil"/>
              </w:pBdr>
              <w:tabs>
                <w:tab w:val="left" w:pos="-9"/>
              </w:tabs>
              <w:spacing w:after="120"/>
              <w:ind w:left="0"/>
              <w:jc w:val="left"/>
              <w:rPr>
                <w:rFonts w:ascii="Arial" w:hAnsi="Arial" w:cs="Arial"/>
                <w:color w:val="000000"/>
                <w:sz w:val="24"/>
                <w:szCs w:val="24"/>
              </w:rPr>
            </w:pPr>
            <w:bookmarkStart w:id="1" w:name="_heading=h.30j0zll" w:colFirst="0" w:colLast="0"/>
            <w:bookmarkEnd w:id="1"/>
            <w:r w:rsidRPr="00F31152">
              <w:rPr>
                <w:rFonts w:ascii="Arial" w:hAnsi="Arial" w:cs="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D2585F" w:rsidRPr="00F31152" w14:paraId="2AAF87D9" w14:textId="77777777">
        <w:tc>
          <w:tcPr>
            <w:tcW w:w="3097" w:type="dxa"/>
          </w:tcPr>
          <w:p w14:paraId="0000000B"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 Recovery Deliverables"</w:t>
            </w:r>
          </w:p>
        </w:tc>
        <w:tc>
          <w:tcPr>
            <w:tcW w:w="5075" w:type="dxa"/>
          </w:tcPr>
          <w:p w14:paraId="0000000C" w14:textId="77777777" w:rsidR="00D2585F" w:rsidRPr="00F31152" w:rsidRDefault="00665111" w:rsidP="006D1863">
            <w:pPr>
              <w:pBdr>
                <w:top w:val="nil"/>
                <w:left w:val="nil"/>
                <w:bottom w:val="nil"/>
                <w:right w:val="nil"/>
                <w:between w:val="nil"/>
              </w:pBdr>
              <w:tabs>
                <w:tab w:val="left" w:pos="-9"/>
                <w:tab w:val="left" w:pos="-179"/>
              </w:tabs>
              <w:spacing w:after="120"/>
              <w:ind w:left="0"/>
              <w:jc w:val="left"/>
              <w:rPr>
                <w:rFonts w:ascii="Arial" w:hAnsi="Arial" w:cs="Arial"/>
                <w:color w:val="000000"/>
                <w:sz w:val="24"/>
                <w:szCs w:val="24"/>
              </w:rPr>
            </w:pPr>
            <w:r w:rsidRPr="00F31152">
              <w:rPr>
                <w:rFonts w:ascii="Arial" w:hAnsi="Arial" w:cs="Arial"/>
                <w:color w:val="000000"/>
                <w:sz w:val="24"/>
                <w:szCs w:val="24"/>
              </w:rPr>
              <w:t>the Deliverables embodied in the processes and procedures for restoring the provision of Deliverables following the occurrence of a Disaster;</w:t>
            </w:r>
          </w:p>
        </w:tc>
      </w:tr>
      <w:tr w:rsidR="00D2585F" w:rsidRPr="00F31152" w14:paraId="2AFB4F26" w14:textId="77777777">
        <w:tc>
          <w:tcPr>
            <w:tcW w:w="3097" w:type="dxa"/>
          </w:tcPr>
          <w:p w14:paraId="0000000D"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 Recovery Plan"</w:t>
            </w:r>
          </w:p>
        </w:tc>
        <w:tc>
          <w:tcPr>
            <w:tcW w:w="5075" w:type="dxa"/>
          </w:tcPr>
          <w:p w14:paraId="0000000E" w14:textId="77777777" w:rsidR="00D2585F" w:rsidRPr="00F31152" w:rsidRDefault="00665111" w:rsidP="006D186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2.3.3 of this Schedule;</w:t>
            </w:r>
          </w:p>
        </w:tc>
      </w:tr>
      <w:tr w:rsidR="00D2585F" w:rsidRPr="00F31152" w14:paraId="06182AF1" w14:textId="77777777">
        <w:tc>
          <w:tcPr>
            <w:tcW w:w="3097" w:type="dxa"/>
          </w:tcPr>
          <w:p w14:paraId="0000000F"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 Recovery System"</w:t>
            </w:r>
          </w:p>
        </w:tc>
        <w:tc>
          <w:tcPr>
            <w:tcW w:w="5075" w:type="dxa"/>
          </w:tcPr>
          <w:p w14:paraId="00000010"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the system embodied in the processes and procedures for restoring the provision of Deliverables following the occurrence of a Disaster;</w:t>
            </w:r>
          </w:p>
        </w:tc>
      </w:tr>
      <w:tr w:rsidR="00D2585F" w:rsidRPr="00F31152" w14:paraId="683413A0" w14:textId="77777777">
        <w:trPr>
          <w:trHeight w:val="567"/>
        </w:trPr>
        <w:tc>
          <w:tcPr>
            <w:tcW w:w="3097" w:type="dxa"/>
          </w:tcPr>
          <w:p w14:paraId="00000011"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"Related Supplier"</w:t>
            </w:r>
          </w:p>
        </w:tc>
        <w:tc>
          <w:tcPr>
            <w:tcW w:w="5075" w:type="dxa"/>
          </w:tcPr>
          <w:p w14:paraId="00000012" w14:textId="7C594E6B" w:rsidR="00D2585F" w:rsidRPr="00F31152" w:rsidRDefault="00615D8E"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Pr>
                <w:rFonts w:ascii="Arial" w:hAnsi="Arial" w:cs="Arial"/>
                <w:color w:val="000000"/>
                <w:sz w:val="24"/>
                <w:szCs w:val="24"/>
              </w:rPr>
              <w:t>a</w:t>
            </w:r>
            <w:r w:rsidR="00665111" w:rsidRPr="00F31152">
              <w:rPr>
                <w:rFonts w:ascii="Arial" w:hAnsi="Arial" w:cs="Arial"/>
                <w:color w:val="000000"/>
                <w:sz w:val="24"/>
                <w:szCs w:val="24"/>
              </w:rPr>
              <w:t>ny person who provides Deliverables to the Buyer which are related to the Deliverables from time to time;</w:t>
            </w:r>
          </w:p>
        </w:tc>
      </w:tr>
      <w:tr w:rsidR="00D2585F" w:rsidRPr="00F31152" w14:paraId="30E1C42E" w14:textId="77777777">
        <w:trPr>
          <w:trHeight w:val="567"/>
        </w:trPr>
        <w:tc>
          <w:tcPr>
            <w:tcW w:w="3097" w:type="dxa"/>
          </w:tcPr>
          <w:p w14:paraId="00000013"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"Review Report"</w:t>
            </w:r>
          </w:p>
        </w:tc>
        <w:tc>
          <w:tcPr>
            <w:tcW w:w="5075" w:type="dxa"/>
          </w:tcPr>
          <w:p w14:paraId="00000014"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6.3 of this Schedule;</w:t>
            </w:r>
          </w:p>
        </w:tc>
      </w:tr>
      <w:tr w:rsidR="00D2585F" w:rsidRPr="00F31152" w14:paraId="602FF77E" w14:textId="77777777">
        <w:tc>
          <w:tcPr>
            <w:tcW w:w="3097" w:type="dxa"/>
          </w:tcPr>
          <w:p w14:paraId="00000015"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"Supplier's Proposals"</w:t>
            </w:r>
          </w:p>
        </w:tc>
        <w:tc>
          <w:tcPr>
            <w:tcW w:w="5075" w:type="dxa"/>
          </w:tcPr>
          <w:p w14:paraId="00000016"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6.3 of this Schedule;</w:t>
            </w:r>
          </w:p>
        </w:tc>
      </w:tr>
    </w:tbl>
    <w:p w14:paraId="00000017"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BCDR Plan</w:t>
      </w:r>
    </w:p>
    <w:p w14:paraId="0000001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2" w:name="_heading=h.1fob9te" w:colFirst="0" w:colLast="0"/>
      <w:bookmarkEnd w:id="2"/>
      <w:r w:rsidRPr="00F31152">
        <w:rPr>
          <w:color w:val="000000"/>
          <w:sz w:val="24"/>
          <w:szCs w:val="24"/>
        </w:rPr>
        <w:t>The Buyer and the Supplier recognise that, where specified in Schedule 4 (Framework Management), CCS shall have the right to enforce the Buyer's rights under this Schedule.</w:t>
      </w:r>
    </w:p>
    <w:p w14:paraId="00000019"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lastRenderedPageBreak/>
        <w:t xml:space="preserve">At least ninety (90) Working Days prior to the Start Date the Supplier shall prepare and deliver to the Buyer for the Buyer’s written approval a plan (a </w:t>
      </w:r>
      <w:r w:rsidRPr="00F31152">
        <w:rPr>
          <w:b/>
          <w:color w:val="000000"/>
          <w:sz w:val="24"/>
          <w:szCs w:val="24"/>
        </w:rPr>
        <w:t>“BCDR Plan”</w:t>
      </w:r>
      <w:r w:rsidRPr="00F31152">
        <w:rPr>
          <w:color w:val="000000"/>
          <w:sz w:val="24"/>
          <w:szCs w:val="24"/>
        </w:rPr>
        <w:t>), which shall detail the processes and arrangements that the Supplier shall follow to:</w:t>
      </w:r>
    </w:p>
    <w:p w14:paraId="0000001A"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ensure continuity of the business processes and operations supported by the Services following any failure or disruption of any element of the Deliverables; and</w:t>
      </w:r>
    </w:p>
    <w:p w14:paraId="0000001B"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the recovery of the Deliverables in the event of a Disaster </w:t>
      </w:r>
    </w:p>
    <w:p w14:paraId="0000001C"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BCDR Plan shall be divided into three sections:</w:t>
      </w:r>
    </w:p>
    <w:p w14:paraId="0000001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3" w:name="_heading=h.3znysh7" w:colFirst="0" w:colLast="0"/>
      <w:bookmarkEnd w:id="3"/>
      <w:r w:rsidRPr="00F31152">
        <w:rPr>
          <w:color w:val="000000"/>
          <w:sz w:val="24"/>
          <w:szCs w:val="24"/>
        </w:rPr>
        <w:t xml:space="preserve">Section 1 which shall set out general principles applicable to the BCDR Plan; </w:t>
      </w:r>
    </w:p>
    <w:p w14:paraId="0000001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2et92p0" w:colFirst="0" w:colLast="0"/>
      <w:bookmarkEnd w:id="4"/>
      <w:r w:rsidRPr="00F31152">
        <w:rPr>
          <w:color w:val="000000"/>
          <w:sz w:val="24"/>
          <w:szCs w:val="24"/>
        </w:rPr>
        <w:t xml:space="preserve">Section 2 which shall relate to business continuity (the </w:t>
      </w:r>
      <w:r w:rsidRPr="00F31152">
        <w:rPr>
          <w:b/>
          <w:color w:val="000000"/>
          <w:sz w:val="24"/>
          <w:szCs w:val="24"/>
        </w:rPr>
        <w:t>"Business Continuity Plan"</w:t>
      </w:r>
      <w:r w:rsidRPr="00F31152">
        <w:rPr>
          <w:color w:val="000000"/>
          <w:sz w:val="24"/>
          <w:szCs w:val="24"/>
        </w:rPr>
        <w:t>); and</w:t>
      </w:r>
    </w:p>
    <w:p w14:paraId="0000001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tyjcwt" w:colFirst="0" w:colLast="0"/>
      <w:bookmarkEnd w:id="5"/>
      <w:r w:rsidRPr="00F31152">
        <w:rPr>
          <w:color w:val="000000"/>
          <w:sz w:val="24"/>
          <w:szCs w:val="24"/>
        </w:rPr>
        <w:t xml:space="preserve">Section 3 which shall relate to disaster recovery (the </w:t>
      </w:r>
      <w:r w:rsidRPr="00F31152">
        <w:rPr>
          <w:b/>
          <w:color w:val="000000"/>
          <w:sz w:val="24"/>
          <w:szCs w:val="24"/>
        </w:rPr>
        <w:t>"Disaster Recovery Plan"</w:t>
      </w:r>
      <w:r w:rsidRPr="00F31152">
        <w:rPr>
          <w:color w:val="000000"/>
          <w:sz w:val="24"/>
          <w:szCs w:val="24"/>
        </w:rPr>
        <w:t>).</w:t>
      </w:r>
    </w:p>
    <w:p w14:paraId="00000020"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6" w:name="_heading=h.3dy6vkm" w:colFirst="0" w:colLast="0"/>
      <w:bookmarkEnd w:id="6"/>
      <w:r w:rsidRPr="00F31152">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21"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7" w:name="_heading=h.1t3h5sf" w:colFirst="0" w:colLast="0"/>
      <w:bookmarkEnd w:id="7"/>
      <w:r w:rsidRPr="00F31152">
        <w:rPr>
          <w:rFonts w:eastAsia="Arial Bold"/>
          <w:b/>
          <w:color w:val="000000"/>
          <w:sz w:val="24"/>
          <w:szCs w:val="24"/>
        </w:rPr>
        <w:t>General Principles of the BCDR Plan (Section 1)</w:t>
      </w:r>
    </w:p>
    <w:p w14:paraId="00000022"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Section 1 of the BCDR Plan shall:</w:t>
      </w:r>
    </w:p>
    <w:p w14:paraId="00000023"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8" w:name="_heading=h.1ci93xb" w:colFirst="0" w:colLast="0"/>
      <w:bookmarkEnd w:id="8"/>
      <w:r w:rsidRPr="00F31152">
        <w:rPr>
          <w:color w:val="000000"/>
          <w:sz w:val="24"/>
          <w:szCs w:val="24"/>
        </w:rPr>
        <w:t>set out how the business continuity and disaster recovery elements of the BCDR Plan link to each other;</w:t>
      </w:r>
    </w:p>
    <w:p w14:paraId="00000024"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provide details of how the invocation of any element of the BCDR Plan may impact upon the provision of the Deliverables and any goods and/or services provided to the Buyer by a Related Supplier;</w:t>
      </w:r>
    </w:p>
    <w:p w14:paraId="0000002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contain an obligation upon the Supplier to liaise with the Buyer and any Related Suppliers with respect to business continuity and disaster recovery;</w:t>
      </w:r>
    </w:p>
    <w:p w14:paraId="0000002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0000002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contain a communication strategy including details of an incident and problem management service and advice and help desk facility which can be accessed via multiple channels;</w:t>
      </w:r>
    </w:p>
    <w:p w14:paraId="00000028" w14:textId="77777777" w:rsidR="00D2585F" w:rsidRPr="00F31152" w:rsidRDefault="00665111">
      <w:pPr>
        <w:keepNext/>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contain a risk analysis, including:</w:t>
      </w:r>
    </w:p>
    <w:p w14:paraId="00000029"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failure or disruption scenarios and assessments of likely frequency of occurrence;</w:t>
      </w:r>
    </w:p>
    <w:p w14:paraId="0000002A"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lastRenderedPageBreak/>
        <w:t>identification of any single points of failure within the provision of Deliverables and processes for managing those risks;</w:t>
      </w:r>
    </w:p>
    <w:p w14:paraId="0000002B"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identification of risks arising from the interaction of the provision of Deliverables with the goods and/or services provided by a Related Supplier; and</w:t>
      </w:r>
    </w:p>
    <w:p w14:paraId="0000002C"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 business impact analysis of different anticipated failures or disruptions;</w:t>
      </w:r>
    </w:p>
    <w:p w14:paraId="0000002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provide for documentation of processes, including business processes, and procedures;</w:t>
      </w:r>
    </w:p>
    <w:p w14:paraId="0000002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set out key contact details for the Supplier (and any Subcontractors) and for the Buyer;</w:t>
      </w:r>
    </w:p>
    <w:p w14:paraId="0000002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identify the procedures for reverting to "normal service";</w:t>
      </w:r>
    </w:p>
    <w:p w14:paraId="0000003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set out method(s) of recovering or updating data collected (or which ought to have been collected) during a failure or disruption to minimise data loss;</w:t>
      </w:r>
    </w:p>
    <w:p w14:paraId="00000031"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identify the responsibilities (if any) that the Buyer has agreed it will assume in the event of the invocation of the BCDR Plan; and</w:t>
      </w:r>
    </w:p>
    <w:p w14:paraId="00000032"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provide for the provision of technical assistance to key contacts at the Buyer as required by the Buyer to inform decisions in support of the Buyer’s business continuity plans.</w:t>
      </w:r>
    </w:p>
    <w:p w14:paraId="00000033"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BCDR Plan shall be designed so as to ensure that:</w:t>
      </w:r>
    </w:p>
    <w:p w14:paraId="00000034"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Deliverables are provided in accordance with this Contract at all times during and after the invocation of the BCDR Plan;</w:t>
      </w:r>
    </w:p>
    <w:p w14:paraId="0000003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the adverse impact of any Disaster is minimised as far as reasonably possible; </w:t>
      </w:r>
    </w:p>
    <w:p w14:paraId="0000003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it complies with the relevant provisions of ISO/IEC 27002; ISO22301/ISO22313   and all other industry standards from time to time in force; and</w:t>
      </w:r>
    </w:p>
    <w:p w14:paraId="0000003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it details a process for the management of disaster recovery testing.</w:t>
      </w:r>
    </w:p>
    <w:p w14:paraId="0000003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BCDR Plan shall be upgradeable and sufficiently flexible to support any changes to the Deliverables and the business operations supported by the provision of Deliverables.</w:t>
      </w:r>
    </w:p>
    <w:p w14:paraId="00000039"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0000003A"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Business Continuity (Section 2)</w:t>
      </w:r>
    </w:p>
    <w:p w14:paraId="0000003B"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9" w:name="_heading=h.4d34og8" w:colFirst="0" w:colLast="0"/>
      <w:bookmarkEnd w:id="9"/>
      <w:r w:rsidRPr="00F31152">
        <w:rPr>
          <w:color w:val="000000"/>
          <w:sz w:val="24"/>
          <w:szCs w:val="24"/>
        </w:rPr>
        <w:t xml:space="preserve">The Business Continuity Plan shall set out the arrangements that are to be invoked to ensure that the business processes facilitated by the provision of </w:t>
      </w:r>
      <w:r w:rsidRPr="00F31152">
        <w:rPr>
          <w:color w:val="000000"/>
          <w:sz w:val="24"/>
          <w:szCs w:val="24"/>
        </w:rPr>
        <w:lastRenderedPageBreak/>
        <w:t>Deliverables remain supported and to ensure continuity of the business operations supported by the Services including:</w:t>
      </w:r>
    </w:p>
    <w:p w14:paraId="0000003C"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alternative processes, options and responsibilities that may be adopted in the event of a failure in or disruption to the provision of Deliverables; and</w:t>
      </w:r>
    </w:p>
    <w:p w14:paraId="0000003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steps to be taken by the Supplier upon resumption of the provision of Deliverables in order to address the effect of the failure or disruption.</w:t>
      </w:r>
    </w:p>
    <w:p w14:paraId="0000003E"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Business Continuity Plan shall:</w:t>
      </w:r>
    </w:p>
    <w:p w14:paraId="0000003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address the various possible levels of failures of or disruptions to the provision of Deliverables;</w:t>
      </w:r>
    </w:p>
    <w:p w14:paraId="0000004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0" w:name="_heading=h.2s8eyo1" w:colFirst="0" w:colLast="0"/>
      <w:bookmarkEnd w:id="10"/>
      <w:r w:rsidRPr="00F31152">
        <w:rPr>
          <w:color w:val="000000"/>
          <w:sz w:val="24"/>
          <w:szCs w:val="24"/>
        </w:rPr>
        <w:t>set out the goods and/or services to be provided and the steps to be taken to remedy the different levels of failures of and disruption to the Deliverables;</w:t>
      </w:r>
    </w:p>
    <w:p w14:paraId="00000041"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0000042"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set out the circumstances in which the Business Continuity Plan is invoked.</w:t>
      </w:r>
    </w:p>
    <w:p w14:paraId="00000043"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Disaster Recovery (Section 3)</w:t>
      </w:r>
    </w:p>
    <w:p w14:paraId="00000044"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1" w:name="_heading=h.17dp8vu" w:colFirst="0" w:colLast="0"/>
      <w:bookmarkEnd w:id="11"/>
      <w:r w:rsidRPr="00F31152">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0000045"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Supplier's BCDR Plan shall include an approach to business continuity and disaster recovery that addresses the following:</w:t>
      </w:r>
    </w:p>
    <w:p w14:paraId="0000004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access to the Buyer Premises;</w:t>
      </w:r>
    </w:p>
    <w:p w14:paraId="0000004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utilities to the Buyer Premises;</w:t>
      </w:r>
    </w:p>
    <w:p w14:paraId="00000048"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the Supplier's helpdesk or CAFM system;</w:t>
      </w:r>
    </w:p>
    <w:p w14:paraId="00000049"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a Subcontractor;</w:t>
      </w:r>
    </w:p>
    <w:p w14:paraId="0000004A"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emergency notification and escalation process;</w:t>
      </w:r>
    </w:p>
    <w:p w14:paraId="0000004B"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contact lists;</w:t>
      </w:r>
    </w:p>
    <w:p w14:paraId="0000004C"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staff training and awareness;</w:t>
      </w:r>
    </w:p>
    <w:p w14:paraId="0000004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BCDR Plan testing; </w:t>
      </w:r>
    </w:p>
    <w:p w14:paraId="0000004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post implementation review process; </w:t>
      </w:r>
    </w:p>
    <w:p w14:paraId="0000004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lastRenderedPageBreak/>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000005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details of how the Supplier shall ensure compliance with security standards ensuring that compliance is maintained for any period during which the Disaster Recovery Plan is invoked;</w:t>
      </w:r>
    </w:p>
    <w:p w14:paraId="00000051"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access controls to any disaster recovery sites used by the Supplier in relation to its obligations pursuant to this Schedule; and</w:t>
      </w:r>
    </w:p>
    <w:p w14:paraId="00000052"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testing and management arrangements.</w:t>
      </w:r>
    </w:p>
    <w:p w14:paraId="00000053"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Review and changing the BCDR Plan</w:t>
      </w:r>
    </w:p>
    <w:p w14:paraId="00000054"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bookmarkStart w:id="12" w:name="_heading=h.3rdcrjn" w:colFirst="0" w:colLast="0"/>
      <w:bookmarkEnd w:id="12"/>
      <w:r w:rsidRPr="00F31152">
        <w:rPr>
          <w:color w:val="000000"/>
          <w:sz w:val="24"/>
          <w:szCs w:val="24"/>
        </w:rPr>
        <w:t>The Supplier shall review the BCDR Plan:</w:t>
      </w:r>
    </w:p>
    <w:p w14:paraId="0000005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heading=h.26in1rg" w:colFirst="0" w:colLast="0"/>
      <w:bookmarkEnd w:id="13"/>
      <w:r w:rsidRPr="00F31152">
        <w:rPr>
          <w:color w:val="000000"/>
          <w:sz w:val="24"/>
          <w:szCs w:val="24"/>
        </w:rPr>
        <w:t>on a regular basis and as a minimum once every six (6) Months;</w:t>
      </w:r>
    </w:p>
    <w:p w14:paraId="0000005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heading=h.lnxbz9" w:colFirst="0" w:colLast="0"/>
      <w:bookmarkEnd w:id="14"/>
      <w:r w:rsidRPr="00F31152">
        <w:rPr>
          <w:color w:val="000000"/>
          <w:sz w:val="24"/>
          <w:szCs w:val="24"/>
        </w:rPr>
        <w:t>within three (3) calendar Months of the BCDR Plan (or any part) having been invoked pursuant to Paragraph 7; and</w:t>
      </w:r>
    </w:p>
    <w:p w14:paraId="0000005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35nkun2" w:colFirst="0" w:colLast="0"/>
      <w:bookmarkEnd w:id="15"/>
      <w:r w:rsidRPr="00F31152">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000005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6" w:name="_heading=h.1ksv4uv" w:colFirst="0" w:colLast="0"/>
      <w:bookmarkEnd w:id="16"/>
      <w:r w:rsidRPr="00F31152">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000059"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7" w:name="_heading=h.44sinio" w:colFirst="0" w:colLast="0"/>
      <w:bookmarkEnd w:id="17"/>
      <w:r w:rsidRPr="00F31152">
        <w:rPr>
          <w:color w:val="000000"/>
          <w:sz w:val="24"/>
          <w:szCs w:val="24"/>
        </w:rPr>
        <w:t xml:space="preserve">The Supplier shall, within twenty (20) Working Days of the conclusion of each such review of the BCDR Plan, provide to the Buyer a report (a </w:t>
      </w:r>
      <w:r w:rsidRPr="00F31152">
        <w:rPr>
          <w:b/>
          <w:color w:val="000000"/>
          <w:sz w:val="24"/>
          <w:szCs w:val="24"/>
        </w:rPr>
        <w:t>"Review Report"</w:t>
      </w:r>
      <w:r w:rsidRPr="00F31152">
        <w:rPr>
          <w:color w:val="000000"/>
          <w:sz w:val="24"/>
          <w:szCs w:val="24"/>
        </w:rPr>
        <w:t xml:space="preserve">) setting out the Supplier's proposals (the </w:t>
      </w:r>
      <w:r w:rsidRPr="00F31152">
        <w:rPr>
          <w:b/>
          <w:color w:val="000000"/>
          <w:sz w:val="24"/>
          <w:szCs w:val="24"/>
        </w:rPr>
        <w:t>"Supplier's Proposals"</w:t>
      </w:r>
      <w:r w:rsidRPr="00F31152">
        <w:rPr>
          <w:color w:val="000000"/>
          <w:sz w:val="24"/>
          <w:szCs w:val="24"/>
        </w:rPr>
        <w:t>) for addressing any changes in the risk profile and its proposals for amendments to the BCDR Plan.</w:t>
      </w:r>
    </w:p>
    <w:p w14:paraId="0000005A"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8" w:name="_heading=h.2jxsxqh" w:colFirst="0" w:colLast="0"/>
      <w:bookmarkEnd w:id="18"/>
      <w:r w:rsidRPr="00F31152">
        <w:rPr>
          <w:color w:val="000000"/>
          <w:sz w:val="24"/>
          <w:szCs w:val="24"/>
        </w:rPr>
        <w:t xml:space="preserve">Following receipt of the Review Report and the Supplier’s Proposals, the Parties shall use reasonable endeavours to agree the Review Report and the </w:t>
      </w:r>
      <w:r w:rsidRPr="00F31152">
        <w:rPr>
          <w:color w:val="000000"/>
          <w:sz w:val="24"/>
          <w:szCs w:val="24"/>
        </w:rPr>
        <w:lastRenderedPageBreak/>
        <w:t xml:space="preserve">Supplier's Proposals. If the Parties are unable to agree Review Report and the Supplier's Proposals within twenty (20) Working Days of its submission, then such Dispute shall be resolved in accordance with the Dispute Resolution Procedure. </w:t>
      </w:r>
    </w:p>
    <w:p w14:paraId="0000005B"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5C" w14:textId="77777777" w:rsidR="00D2585F" w:rsidRPr="00F31152" w:rsidRDefault="00665111">
      <w:pPr>
        <w:keepNext/>
        <w:numPr>
          <w:ilvl w:val="0"/>
          <w:numId w:val="6"/>
        </w:numPr>
        <w:pBdr>
          <w:top w:val="nil"/>
          <w:left w:val="nil"/>
          <w:bottom w:val="nil"/>
          <w:right w:val="nil"/>
          <w:between w:val="nil"/>
        </w:pBdr>
        <w:tabs>
          <w:tab w:val="left" w:pos="0"/>
        </w:tabs>
        <w:spacing w:before="240"/>
        <w:ind w:left="504"/>
        <w:jc w:val="left"/>
        <w:rPr>
          <w:rFonts w:eastAsia="Arial Bold"/>
          <w:b/>
          <w:color w:val="000000"/>
          <w:sz w:val="24"/>
          <w:szCs w:val="24"/>
        </w:rPr>
      </w:pPr>
      <w:bookmarkStart w:id="19" w:name="_heading=h.z337ya" w:colFirst="0" w:colLast="0"/>
      <w:bookmarkEnd w:id="19"/>
      <w:r w:rsidRPr="00F31152">
        <w:rPr>
          <w:rFonts w:eastAsia="Arial Bold"/>
          <w:b/>
          <w:color w:val="000000"/>
          <w:sz w:val="24"/>
          <w:szCs w:val="24"/>
        </w:rPr>
        <w:t>Testing the BCDR Plan</w:t>
      </w:r>
    </w:p>
    <w:p w14:paraId="0000005D"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bookmarkStart w:id="20" w:name="_heading=h.3j2qqm3" w:colFirst="0" w:colLast="0"/>
      <w:bookmarkEnd w:id="20"/>
      <w:r w:rsidRPr="00F31152">
        <w:rPr>
          <w:color w:val="000000"/>
          <w:sz w:val="24"/>
          <w:szCs w:val="24"/>
        </w:rPr>
        <w:t xml:space="preserve">The Supplier shall test the BCDR Plan: </w:t>
      </w:r>
    </w:p>
    <w:p w14:paraId="0000005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regularly and in any event not less than once in every Contract Year;</w:t>
      </w:r>
    </w:p>
    <w:p w14:paraId="0000005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in the event of any major reconfiguration of the Deliverables</w:t>
      </w:r>
    </w:p>
    <w:p w14:paraId="0000006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at any time where the Buyer considers it necessary (acting in its sole discretion).  </w:t>
      </w:r>
    </w:p>
    <w:p w14:paraId="00000061"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21" w:name="_heading=h.1y810tw" w:colFirst="0" w:colLast="0"/>
      <w:bookmarkEnd w:id="21"/>
      <w:r w:rsidRPr="00F31152">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0000062"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0000063"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0000064"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 shall, within twenty (20) Working Days of the conclusion of each test, provide to the Buyer a report setting out:</w:t>
      </w:r>
    </w:p>
    <w:p w14:paraId="0000006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outcome of the test;</w:t>
      </w:r>
    </w:p>
    <w:p w14:paraId="0000006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any failures in the BCDR Plan (including the BCDR Plan's procedures) revealed by the test; and</w:t>
      </w:r>
    </w:p>
    <w:p w14:paraId="0000006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Supplier's proposals for remedying any such failures.</w:t>
      </w:r>
    </w:p>
    <w:p w14:paraId="0000006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22" w:name="_heading=h.4i7ojhp" w:colFirst="0" w:colLast="0"/>
      <w:bookmarkEnd w:id="22"/>
      <w:r w:rsidRPr="00F31152">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0000069"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rFonts w:eastAsia="Arial Bold"/>
          <w:b/>
          <w:color w:val="000000"/>
          <w:sz w:val="24"/>
          <w:szCs w:val="24"/>
        </w:rPr>
      </w:pPr>
      <w:bookmarkStart w:id="23" w:name="_heading=h.2xcytpi" w:colFirst="0" w:colLast="0"/>
      <w:bookmarkEnd w:id="23"/>
      <w:r w:rsidRPr="00F31152">
        <w:rPr>
          <w:rFonts w:eastAsia="Arial Bold"/>
          <w:b/>
          <w:color w:val="000000"/>
          <w:sz w:val="24"/>
          <w:szCs w:val="24"/>
        </w:rPr>
        <w:lastRenderedPageBreak/>
        <w:t>Invoking the BCDR Plan</w:t>
      </w:r>
    </w:p>
    <w:p w14:paraId="0000006A"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0000006B" w14:textId="77777777" w:rsidR="00D2585F" w:rsidRPr="00F31152" w:rsidRDefault="00665111">
      <w:pPr>
        <w:keepNext/>
        <w:numPr>
          <w:ilvl w:val="0"/>
          <w:numId w:val="6"/>
        </w:numPr>
        <w:pBdr>
          <w:top w:val="nil"/>
          <w:left w:val="nil"/>
          <w:bottom w:val="nil"/>
          <w:right w:val="nil"/>
          <w:between w:val="nil"/>
        </w:pBdr>
        <w:tabs>
          <w:tab w:val="left" w:pos="0"/>
        </w:tabs>
        <w:spacing w:before="240"/>
        <w:ind w:left="504"/>
        <w:jc w:val="left"/>
        <w:rPr>
          <w:b/>
          <w:smallCaps/>
          <w:color w:val="000000"/>
          <w:sz w:val="24"/>
          <w:szCs w:val="24"/>
        </w:rPr>
      </w:pPr>
      <w:r w:rsidRPr="00F31152">
        <w:rPr>
          <w:b/>
          <w:smallCaps/>
          <w:color w:val="000000"/>
          <w:sz w:val="24"/>
          <w:szCs w:val="24"/>
        </w:rPr>
        <w:t>C</w:t>
      </w:r>
      <w:r w:rsidRPr="00F31152">
        <w:rPr>
          <w:rFonts w:eastAsia="Arial Bold"/>
          <w:b/>
          <w:color w:val="000000"/>
          <w:sz w:val="24"/>
          <w:szCs w:val="24"/>
        </w:rPr>
        <w:t>ircumstances beyond your control</w:t>
      </w:r>
    </w:p>
    <w:p w14:paraId="0000006C"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0000006D" w14:textId="77777777" w:rsidR="00D2585F" w:rsidRPr="00F31152" w:rsidRDefault="00665111">
      <w:pPr>
        <w:keepNext/>
        <w:numPr>
          <w:ilvl w:val="0"/>
          <w:numId w:val="6"/>
        </w:numPr>
        <w:pBdr>
          <w:top w:val="nil"/>
          <w:left w:val="nil"/>
          <w:bottom w:val="nil"/>
          <w:right w:val="nil"/>
          <w:between w:val="nil"/>
        </w:pBdr>
        <w:tabs>
          <w:tab w:val="left" w:pos="0"/>
        </w:tabs>
        <w:spacing w:before="240"/>
        <w:ind w:left="504"/>
        <w:jc w:val="left"/>
        <w:rPr>
          <w:rFonts w:eastAsia="Arial Bold"/>
          <w:b/>
          <w:color w:val="000000"/>
          <w:sz w:val="24"/>
          <w:szCs w:val="24"/>
        </w:rPr>
      </w:pPr>
      <w:r w:rsidRPr="00F31152">
        <w:rPr>
          <w:rFonts w:eastAsia="Arial Bold"/>
          <w:b/>
          <w:color w:val="000000"/>
          <w:sz w:val="24"/>
          <w:szCs w:val="24"/>
        </w:rPr>
        <w:t>Optional Clauses</w:t>
      </w:r>
    </w:p>
    <w:p w14:paraId="0000006E"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Where a Buyer’s Call-Off Contract is a Gold Contract,</w:t>
      </w:r>
      <w:sdt>
        <w:sdtPr>
          <w:tag w:val="goog_rdk_0"/>
          <w:id w:val="1449971659"/>
        </w:sdtPr>
        <w:sdtEndPr/>
        <w:sdtContent/>
      </w:sdt>
      <w:r w:rsidRPr="00F31152">
        <w:rPr>
          <w:color w:val="000000"/>
          <w:sz w:val="24"/>
          <w:szCs w:val="24"/>
        </w:rPr>
        <w:t xml:space="preserve"> if specified in the Order Form, the terms at Annex 1 shall apply to the Call-Off Contract in addition to this Call-Off Schedule 8. </w:t>
      </w:r>
    </w:p>
    <w:p w14:paraId="0000006F" w14:textId="77777777" w:rsidR="00D2585F" w:rsidRPr="00F31152" w:rsidRDefault="00665111">
      <w:pPr>
        <w:ind w:firstLine="1418"/>
        <w:rPr>
          <w:color w:val="000000"/>
          <w:sz w:val="24"/>
          <w:szCs w:val="24"/>
        </w:rPr>
      </w:pPr>
      <w:r w:rsidRPr="00F31152">
        <w:br w:type="page"/>
      </w:r>
    </w:p>
    <w:p w14:paraId="00000070" w14:textId="77777777" w:rsidR="00D2585F" w:rsidRPr="00F31152" w:rsidRDefault="00665111">
      <w:pPr>
        <w:pBdr>
          <w:top w:val="nil"/>
          <w:left w:val="nil"/>
          <w:bottom w:val="nil"/>
          <w:right w:val="nil"/>
          <w:between w:val="nil"/>
        </w:pBdr>
        <w:spacing w:before="120" w:after="120"/>
        <w:ind w:left="0"/>
        <w:jc w:val="left"/>
        <w:rPr>
          <w:b/>
          <w:color w:val="000000"/>
          <w:sz w:val="24"/>
          <w:szCs w:val="24"/>
        </w:rPr>
      </w:pPr>
      <w:r w:rsidRPr="00F31152">
        <w:rPr>
          <w:b/>
          <w:color w:val="000000"/>
          <w:sz w:val="32"/>
          <w:szCs w:val="32"/>
        </w:rPr>
        <w:lastRenderedPageBreak/>
        <w:t>Annex 1: Optional Provisions for Gold Contracts</w:t>
      </w:r>
    </w:p>
    <w:p w14:paraId="00000071" w14:textId="77777777" w:rsidR="00D2585F" w:rsidRPr="00F31152" w:rsidRDefault="00665111">
      <w:pPr>
        <w:keepNext/>
        <w:numPr>
          <w:ilvl w:val="0"/>
          <w:numId w:val="4"/>
        </w:numPr>
        <w:pBdr>
          <w:top w:val="nil"/>
          <w:left w:val="nil"/>
          <w:bottom w:val="nil"/>
          <w:right w:val="nil"/>
          <w:between w:val="nil"/>
        </w:pBdr>
        <w:tabs>
          <w:tab w:val="left" w:pos="0"/>
        </w:tabs>
        <w:spacing w:before="240"/>
        <w:jc w:val="left"/>
        <w:rPr>
          <w:rFonts w:eastAsia="Arial Bold"/>
          <w:b/>
          <w:smallCaps/>
          <w:color w:val="000000"/>
          <w:sz w:val="24"/>
          <w:szCs w:val="24"/>
        </w:rPr>
      </w:pPr>
      <w:r w:rsidRPr="00F31152">
        <w:rPr>
          <w:rFonts w:eastAsia="Arial Bold"/>
          <w:b/>
          <w:smallCaps/>
          <w:color w:val="000000"/>
          <w:sz w:val="24"/>
          <w:szCs w:val="24"/>
        </w:rPr>
        <w:t>Definitions</w:t>
      </w:r>
    </w:p>
    <w:p w14:paraId="00000072" w14:textId="77777777" w:rsidR="00D2585F" w:rsidRPr="00F31152" w:rsidRDefault="00665111">
      <w:pPr>
        <w:keepNext/>
        <w:numPr>
          <w:ilvl w:val="1"/>
          <w:numId w:val="4"/>
        </w:numPr>
        <w:pBdr>
          <w:top w:val="nil"/>
          <w:left w:val="nil"/>
          <w:bottom w:val="nil"/>
          <w:right w:val="nil"/>
          <w:between w:val="nil"/>
        </w:pBdr>
        <w:spacing w:before="120" w:after="120"/>
        <w:jc w:val="left"/>
        <w:rPr>
          <w:color w:val="000000"/>
          <w:sz w:val="24"/>
          <w:szCs w:val="24"/>
        </w:rPr>
      </w:pPr>
      <w:r w:rsidRPr="00F31152">
        <w:rPr>
          <w:color w:val="000000"/>
          <w:sz w:val="24"/>
          <w:szCs w:val="24"/>
        </w:rPr>
        <w:t>In this Annex 1, the following words shall have the following meanings and they shall supplement Joint Schedule 1 (Definitions) and Paragraph 1.1 of Call-Off Schedule 8:</w:t>
      </w:r>
    </w:p>
    <w:tbl>
      <w:tblPr>
        <w:tblStyle w:val="a1"/>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D2585F" w:rsidRPr="00F31152" w14:paraId="73124D5D" w14:textId="77777777">
        <w:tc>
          <w:tcPr>
            <w:tcW w:w="3097" w:type="dxa"/>
          </w:tcPr>
          <w:p w14:paraId="00000073"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“Annual Revenue”</w:t>
            </w:r>
          </w:p>
        </w:tc>
        <w:tc>
          <w:tcPr>
            <w:tcW w:w="5075" w:type="dxa"/>
          </w:tcPr>
          <w:p w14:paraId="00000074"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00000075" w14:textId="77777777" w:rsidR="00D2585F" w:rsidRPr="00F31152" w:rsidRDefault="00665111" w:rsidP="00615D8E">
            <w:pPr>
              <w:pBdr>
                <w:top w:val="nil"/>
                <w:left w:val="nil"/>
                <w:bottom w:val="nil"/>
                <w:right w:val="nil"/>
                <w:between w:val="nil"/>
              </w:pBdr>
              <w:spacing w:after="240"/>
              <w:ind w:left="0"/>
              <w:rPr>
                <w:rFonts w:ascii="Arial" w:hAnsi="Arial" w:cs="Arial"/>
              </w:rPr>
            </w:pPr>
            <w:r w:rsidRPr="00F31152">
              <w:rPr>
                <w:rFonts w:ascii="Arial" w:eastAsia="Arial" w:hAnsi="Arial" w:cs="Arial"/>
                <w:color w:val="000000"/>
                <w:sz w:val="22"/>
                <w:szCs w:val="22"/>
              </w:rPr>
              <w:t>figures for accounting periods of other than 12 months should be scaled pro rata to produce a proforma figure for a 12 month period; and</w:t>
            </w:r>
          </w:p>
          <w:p w14:paraId="00000076"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D2585F" w:rsidRPr="00F31152" w14:paraId="202ED236" w14:textId="77777777">
        <w:tc>
          <w:tcPr>
            <w:tcW w:w="3097" w:type="dxa"/>
          </w:tcPr>
          <w:p w14:paraId="00000077"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“Associates”</w:t>
            </w:r>
          </w:p>
        </w:tc>
        <w:tc>
          <w:tcPr>
            <w:tcW w:w="5075" w:type="dxa"/>
          </w:tcPr>
          <w:p w14:paraId="00000078"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D2585F" w:rsidRPr="00F31152" w14:paraId="3F432AF9" w14:textId="77777777">
        <w:tc>
          <w:tcPr>
            <w:tcW w:w="3097" w:type="dxa"/>
          </w:tcPr>
          <w:p w14:paraId="00000079"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“Class 1 Transaction”</w:t>
            </w:r>
          </w:p>
        </w:tc>
        <w:tc>
          <w:tcPr>
            <w:tcW w:w="5075" w:type="dxa"/>
          </w:tcPr>
          <w:p w14:paraId="0000007A"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has the meaning set out in the listing rules issued by the UK Listing Authority;</w:t>
            </w:r>
          </w:p>
        </w:tc>
      </w:tr>
      <w:tr w:rsidR="00D2585F" w:rsidRPr="00F31152" w14:paraId="0ED465A1" w14:textId="77777777">
        <w:tc>
          <w:tcPr>
            <w:tcW w:w="3097" w:type="dxa"/>
          </w:tcPr>
          <w:p w14:paraId="0000007B"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“Control”</w:t>
            </w:r>
          </w:p>
        </w:tc>
        <w:tc>
          <w:tcPr>
            <w:tcW w:w="5075" w:type="dxa"/>
          </w:tcPr>
          <w:p w14:paraId="0000007C"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sidRPr="00F31152">
              <w:rPr>
                <w:rFonts w:ascii="Arial" w:hAnsi="Arial" w:cs="Arial"/>
                <w:b/>
                <w:sz w:val="24"/>
                <w:szCs w:val="24"/>
              </w:rPr>
              <w:t>Controls</w:t>
            </w:r>
            <w:r w:rsidRPr="00F31152">
              <w:rPr>
                <w:rFonts w:ascii="Arial" w:hAnsi="Arial" w:cs="Arial"/>
                <w:sz w:val="24"/>
                <w:szCs w:val="24"/>
              </w:rPr>
              <w:t>” and “</w:t>
            </w:r>
            <w:r w:rsidRPr="00F31152">
              <w:rPr>
                <w:rFonts w:ascii="Arial" w:hAnsi="Arial" w:cs="Arial"/>
                <w:b/>
                <w:sz w:val="24"/>
                <w:szCs w:val="24"/>
              </w:rPr>
              <w:t>Controlled</w:t>
            </w:r>
            <w:r w:rsidRPr="00F31152">
              <w:rPr>
                <w:rFonts w:ascii="Arial" w:hAnsi="Arial" w:cs="Arial"/>
                <w:sz w:val="24"/>
                <w:szCs w:val="24"/>
              </w:rPr>
              <w:t>” shall be interpreted accordingly;</w:t>
            </w:r>
          </w:p>
        </w:tc>
      </w:tr>
      <w:tr w:rsidR="00D2585F" w:rsidRPr="00F31152" w14:paraId="054B9CCC" w14:textId="77777777">
        <w:tc>
          <w:tcPr>
            <w:tcW w:w="3097" w:type="dxa"/>
          </w:tcPr>
          <w:p w14:paraId="0000007D"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“Corporate Change Event”</w:t>
            </w:r>
          </w:p>
        </w:tc>
        <w:tc>
          <w:tcPr>
            <w:tcW w:w="5075" w:type="dxa"/>
          </w:tcPr>
          <w:p w14:paraId="0000007E"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means:</w:t>
            </w:r>
          </w:p>
          <w:p w14:paraId="0000007F" w14:textId="77777777" w:rsidR="00D2585F" w:rsidRPr="004B3601" w:rsidRDefault="00665111" w:rsidP="00615D8E">
            <w:pPr>
              <w:pBdr>
                <w:top w:val="nil"/>
                <w:left w:val="nil"/>
                <w:bottom w:val="nil"/>
                <w:right w:val="nil"/>
                <w:between w:val="nil"/>
              </w:pBdr>
              <w:spacing w:after="240"/>
              <w:ind w:left="0"/>
              <w:rPr>
                <w:rFonts w:ascii="Arial" w:hAnsi="Arial" w:cs="Arial"/>
                <w:sz w:val="24"/>
                <w:szCs w:val="24"/>
              </w:rPr>
            </w:pPr>
            <w:r w:rsidRPr="004B3601">
              <w:rPr>
                <w:rFonts w:ascii="Arial" w:eastAsia="Arial" w:hAnsi="Arial" w:cs="Arial"/>
                <w:color w:val="000000"/>
                <w:sz w:val="24"/>
                <w:szCs w:val="24"/>
              </w:rPr>
              <w:lastRenderedPageBreak/>
              <w:t>any change of Control of the Supplier or a Parent Undertaking of the Supplier;</w:t>
            </w:r>
          </w:p>
          <w:p w14:paraId="00000080"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00000081"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14:paraId="00000082"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a Class 1 Transaction taking place in relation to the shares of the Supplier or any Parent Undertaking of the Supplier whose shares are listed on the main market of the London Stock Exchange plc;</w:t>
            </w:r>
          </w:p>
          <w:p w14:paraId="00000083"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4" w:name="_heading=h.3whwml4" w:colFirst="0" w:colLast="0"/>
            <w:bookmarkEnd w:id="24"/>
            <w:r w:rsidRPr="00F31152">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00000084"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payment of dividends by the Supplier or the ultimate Parent Undertaking of the Supplier Group exceeding 25% of the Net Asset Value of the Supplier or the ultimate Parent Undertaking of the Supplier Group respectively in any 12 month period;</w:t>
            </w:r>
          </w:p>
          <w:p w14:paraId="00000085"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5" w:name="_heading=h.2bn6wsx" w:colFirst="0" w:colLast="0"/>
            <w:bookmarkEnd w:id="25"/>
            <w:r w:rsidRPr="00F31152">
              <w:rPr>
                <w:rFonts w:ascii="Arial" w:eastAsia="Arial" w:hAnsi="Arial" w:cs="Arial"/>
                <w:color w:val="000000"/>
                <w:sz w:val="24"/>
                <w:szCs w:val="24"/>
              </w:rPr>
              <w:t xml:space="preserve">an order is made or an effective resolution is passed for the winding up of any member of the Supplier Group; </w:t>
            </w:r>
          </w:p>
          <w:p w14:paraId="00000086"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6" w:name="_heading=h.qsh70q" w:colFirst="0" w:colLast="0"/>
            <w:bookmarkEnd w:id="26"/>
            <w:r w:rsidRPr="00F31152">
              <w:rPr>
                <w:rFonts w:ascii="Arial" w:eastAsia="Arial" w:hAnsi="Arial" w:cs="Arial"/>
                <w:color w:val="000000"/>
                <w:sz w:val="24"/>
                <w:szCs w:val="24"/>
              </w:rPr>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00000087"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 xml:space="preserve">the appointment of a receiver, administrative receiver or administrator in respect of or over all or a material part of the undertaking or </w:t>
            </w:r>
            <w:r w:rsidRPr="00F31152">
              <w:rPr>
                <w:rFonts w:ascii="Arial" w:eastAsia="Arial" w:hAnsi="Arial" w:cs="Arial"/>
                <w:color w:val="000000"/>
                <w:sz w:val="24"/>
                <w:szCs w:val="24"/>
              </w:rPr>
              <w:lastRenderedPageBreak/>
              <w:t>assets of any member of the Supplier Group; and/or</w:t>
            </w:r>
          </w:p>
          <w:p w14:paraId="00000088"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7" w:name="_heading=h.3as4poj" w:colFirst="0" w:colLast="0"/>
            <w:bookmarkEnd w:id="27"/>
            <w:r w:rsidRPr="00F31152">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D2585F" w:rsidRPr="00F31152" w14:paraId="40CAE047" w14:textId="77777777">
        <w:tc>
          <w:tcPr>
            <w:tcW w:w="3097" w:type="dxa"/>
          </w:tcPr>
          <w:p w14:paraId="00000089"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lastRenderedPageBreak/>
              <w:t>“Critical National Infrastructure”</w:t>
            </w:r>
          </w:p>
        </w:tc>
        <w:tc>
          <w:tcPr>
            <w:tcW w:w="5075" w:type="dxa"/>
          </w:tcPr>
          <w:p w14:paraId="0000008A"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0000008B" w14:textId="77777777" w:rsidR="00D2585F" w:rsidRPr="004B3601" w:rsidRDefault="00665111" w:rsidP="00615D8E">
            <w:pPr>
              <w:pBdr>
                <w:top w:val="nil"/>
                <w:left w:val="nil"/>
                <w:bottom w:val="nil"/>
                <w:right w:val="nil"/>
                <w:between w:val="nil"/>
              </w:pBdr>
              <w:spacing w:after="240"/>
              <w:ind w:left="0"/>
              <w:rPr>
                <w:rFonts w:ascii="Arial" w:hAnsi="Arial" w:cs="Arial"/>
                <w:sz w:val="24"/>
                <w:szCs w:val="24"/>
              </w:rPr>
            </w:pPr>
            <w:r w:rsidRPr="004B3601">
              <w:rPr>
                <w:rFonts w:ascii="Arial" w:eastAsia="Arial" w:hAnsi="Arial" w:cs="Arial"/>
                <w:color w:val="000000"/>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0000008C"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significant impact on the national security, national defence, or the functioning of the UK;</w:t>
            </w:r>
          </w:p>
        </w:tc>
      </w:tr>
      <w:tr w:rsidR="00D2585F" w:rsidRPr="00F31152" w14:paraId="420AD70A" w14:textId="77777777">
        <w:tc>
          <w:tcPr>
            <w:tcW w:w="3097" w:type="dxa"/>
          </w:tcPr>
          <w:p w14:paraId="0000008D"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“Critical Service Contract”</w:t>
            </w:r>
          </w:p>
        </w:tc>
        <w:tc>
          <w:tcPr>
            <w:tcW w:w="5075" w:type="dxa"/>
          </w:tcPr>
          <w:p w14:paraId="0000008E"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a service contract which the Buyer has categorised as a Gold Contract or which the Buyer otherwise considers should be classed as a Critical Service Contract;</w:t>
            </w:r>
          </w:p>
        </w:tc>
      </w:tr>
      <w:tr w:rsidR="00D2585F" w:rsidRPr="00F31152" w14:paraId="34E86CE8" w14:textId="77777777">
        <w:tc>
          <w:tcPr>
            <w:tcW w:w="3097" w:type="dxa"/>
          </w:tcPr>
          <w:p w14:paraId="0000008F"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“CRP Information”</w:t>
            </w:r>
          </w:p>
        </w:tc>
        <w:tc>
          <w:tcPr>
            <w:tcW w:w="5075" w:type="dxa"/>
          </w:tcPr>
          <w:p w14:paraId="00000090"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means, together, the:</w:t>
            </w:r>
          </w:p>
          <w:p w14:paraId="00000091" w14:textId="77777777" w:rsidR="00D2585F" w:rsidRPr="004B3601" w:rsidRDefault="00665111" w:rsidP="000D0612">
            <w:pPr>
              <w:pBdr>
                <w:top w:val="nil"/>
                <w:left w:val="nil"/>
                <w:bottom w:val="nil"/>
                <w:right w:val="nil"/>
                <w:between w:val="nil"/>
              </w:pBdr>
              <w:spacing w:after="240"/>
              <w:ind w:left="0"/>
              <w:rPr>
                <w:rFonts w:ascii="Arial" w:hAnsi="Arial" w:cs="Arial"/>
                <w:sz w:val="24"/>
                <w:szCs w:val="24"/>
              </w:rPr>
            </w:pPr>
            <w:r w:rsidRPr="004B3601">
              <w:rPr>
                <w:rFonts w:ascii="Arial" w:eastAsia="Arial" w:hAnsi="Arial" w:cs="Arial"/>
                <w:color w:val="000000"/>
                <w:sz w:val="24"/>
                <w:szCs w:val="24"/>
              </w:rPr>
              <w:t>Group Structure Information and Resolution Commentary; and</w:t>
            </w:r>
          </w:p>
          <w:p w14:paraId="00000092"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r w:rsidRPr="004B3601">
              <w:rPr>
                <w:rFonts w:ascii="Arial" w:hAnsi="Arial" w:cs="Arial"/>
                <w:sz w:val="24"/>
                <w:szCs w:val="24"/>
              </w:rPr>
              <w:t>UK Public Sector and CNI Contract Information;</w:t>
            </w:r>
          </w:p>
        </w:tc>
      </w:tr>
      <w:tr w:rsidR="00D2585F" w:rsidRPr="00F31152" w14:paraId="53A6C4B1" w14:textId="77777777">
        <w:tc>
          <w:tcPr>
            <w:tcW w:w="3097" w:type="dxa"/>
          </w:tcPr>
          <w:p w14:paraId="00000093"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“Dependent Parent Undertaking”</w:t>
            </w:r>
          </w:p>
        </w:tc>
        <w:tc>
          <w:tcPr>
            <w:tcW w:w="5075" w:type="dxa"/>
          </w:tcPr>
          <w:p w14:paraId="00000094"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w:t>
            </w:r>
            <w:r w:rsidRPr="00F31152">
              <w:rPr>
                <w:rFonts w:ascii="Arial" w:hAnsi="Arial" w:cs="Arial"/>
                <w:sz w:val="24"/>
                <w:szCs w:val="24"/>
              </w:rPr>
              <w:lastRenderedPageBreak/>
              <w:t>of doubt the provision of the Deliverables in accordance with the terms of the Contract;</w:t>
            </w:r>
          </w:p>
        </w:tc>
      </w:tr>
      <w:tr w:rsidR="00D2585F" w:rsidRPr="00F31152" w14:paraId="3FD48DEC" w14:textId="77777777">
        <w:tc>
          <w:tcPr>
            <w:tcW w:w="3097" w:type="dxa"/>
          </w:tcPr>
          <w:p w14:paraId="00000095"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lastRenderedPageBreak/>
              <w:t>“Group Structure Information and Resolution Commentary”</w:t>
            </w:r>
          </w:p>
        </w:tc>
        <w:tc>
          <w:tcPr>
            <w:tcW w:w="5075" w:type="dxa"/>
          </w:tcPr>
          <w:p w14:paraId="00000096"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bookmarkStart w:id="28" w:name="_heading=h.1pxezwc" w:colFirst="0" w:colLast="0"/>
            <w:bookmarkEnd w:id="28"/>
            <w:r w:rsidRPr="00F31152">
              <w:rPr>
                <w:rFonts w:ascii="Arial" w:hAnsi="Arial" w:cs="Arial"/>
                <w:sz w:val="24"/>
                <w:szCs w:val="24"/>
              </w:rPr>
              <w:t>means the information relating to the Supplier Group to be provided by the Supplier in accordance with Paragraphs 3 to 5 and Appendix 1 to Part B of Annex 1;</w:t>
            </w:r>
          </w:p>
        </w:tc>
      </w:tr>
      <w:tr w:rsidR="00D2585F" w:rsidRPr="00F31152" w14:paraId="5855657C" w14:textId="77777777">
        <w:tc>
          <w:tcPr>
            <w:tcW w:w="3097" w:type="dxa"/>
          </w:tcPr>
          <w:p w14:paraId="00000097"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“Parent Undertaking”</w:t>
            </w:r>
          </w:p>
        </w:tc>
        <w:tc>
          <w:tcPr>
            <w:tcW w:w="5075" w:type="dxa"/>
          </w:tcPr>
          <w:p w14:paraId="00000098"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has the meaning set out in section 1162 of the Companies Act 2006;</w:t>
            </w:r>
          </w:p>
        </w:tc>
      </w:tr>
      <w:tr w:rsidR="00D2585F" w:rsidRPr="00F31152" w14:paraId="6D43D919" w14:textId="77777777">
        <w:tc>
          <w:tcPr>
            <w:tcW w:w="3097" w:type="dxa"/>
          </w:tcPr>
          <w:p w14:paraId="00000099"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“Public Sector Dependent Supplier”</w:t>
            </w:r>
          </w:p>
        </w:tc>
        <w:tc>
          <w:tcPr>
            <w:tcW w:w="5075" w:type="dxa"/>
          </w:tcPr>
          <w:p w14:paraId="0000009A" w14:textId="2B86979A"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means a supplier where that supplier, or that supplier’s group has Annual Revenue of £50 million or more of which over 50% is generated from UK Public Sector Business;</w:t>
            </w:r>
          </w:p>
        </w:tc>
      </w:tr>
      <w:tr w:rsidR="00D2585F" w:rsidRPr="00F31152" w14:paraId="5EEC72F1" w14:textId="77777777">
        <w:tc>
          <w:tcPr>
            <w:tcW w:w="3097" w:type="dxa"/>
          </w:tcPr>
          <w:p w14:paraId="0000009B"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bookmarkStart w:id="29" w:name="_heading=h.49x2ik5" w:colFirst="0" w:colLast="0"/>
            <w:bookmarkEnd w:id="29"/>
            <w:r w:rsidRPr="00F31152">
              <w:rPr>
                <w:rFonts w:ascii="Arial" w:hAnsi="Arial" w:cs="Arial"/>
                <w:b/>
                <w:sz w:val="24"/>
                <w:szCs w:val="24"/>
              </w:rPr>
              <w:t>“Relevant Authority” or “Relevant Authorities”</w:t>
            </w:r>
          </w:p>
        </w:tc>
        <w:tc>
          <w:tcPr>
            <w:tcW w:w="5075" w:type="dxa"/>
          </w:tcPr>
          <w:p w14:paraId="0000009C"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bookmarkStart w:id="30" w:name="_heading=h.2p2csry" w:colFirst="0" w:colLast="0"/>
            <w:bookmarkEnd w:id="30"/>
            <w:r w:rsidRPr="00F31152">
              <w:rPr>
                <w:rFonts w:ascii="Arial" w:hAnsi="Arial" w:cs="Arial"/>
                <w:sz w:val="24"/>
                <w:szCs w:val="24"/>
              </w:rPr>
              <w:t>means the Buyer and the Cabinet Office Markets and Suppliers Team or, where the Supplier is a Strategic Supplier, the Cabinet Office Markets and Suppliers Team;</w:t>
            </w:r>
          </w:p>
        </w:tc>
      </w:tr>
      <w:tr w:rsidR="00D2585F" w:rsidRPr="00F31152" w14:paraId="30025FE4" w14:textId="77777777">
        <w:trPr>
          <w:trHeight w:val="567"/>
        </w:trPr>
        <w:tc>
          <w:tcPr>
            <w:tcW w:w="3097" w:type="dxa"/>
          </w:tcPr>
          <w:p w14:paraId="0000009D"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“Subsidiary Undertaking”</w:t>
            </w:r>
          </w:p>
        </w:tc>
        <w:tc>
          <w:tcPr>
            <w:tcW w:w="5075" w:type="dxa"/>
          </w:tcPr>
          <w:p w14:paraId="0000009E"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has the meaning set out in section 1162 of the Companies Act 2006;</w:t>
            </w:r>
          </w:p>
        </w:tc>
      </w:tr>
      <w:tr w:rsidR="00D2585F" w:rsidRPr="00F31152" w14:paraId="66258D96" w14:textId="77777777">
        <w:trPr>
          <w:trHeight w:val="567"/>
        </w:trPr>
        <w:tc>
          <w:tcPr>
            <w:tcW w:w="3097" w:type="dxa"/>
          </w:tcPr>
          <w:p w14:paraId="0000009F"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“Supplier Group”</w:t>
            </w:r>
          </w:p>
        </w:tc>
        <w:tc>
          <w:tcPr>
            <w:tcW w:w="5075" w:type="dxa"/>
          </w:tcPr>
          <w:p w14:paraId="000000A0"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means the Supplier, its Dependent Parent Undertakings and all Subsidiary Undertakings and Associates of such Dependent Parent Undertakings;</w:t>
            </w:r>
          </w:p>
        </w:tc>
      </w:tr>
      <w:tr w:rsidR="00D2585F" w:rsidRPr="00F31152" w14:paraId="49B59293" w14:textId="77777777">
        <w:trPr>
          <w:trHeight w:val="567"/>
        </w:trPr>
        <w:tc>
          <w:tcPr>
            <w:tcW w:w="3097" w:type="dxa"/>
          </w:tcPr>
          <w:p w14:paraId="000000A1"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“UK Public Sector Business”</w:t>
            </w:r>
          </w:p>
        </w:tc>
        <w:tc>
          <w:tcPr>
            <w:tcW w:w="5075" w:type="dxa"/>
          </w:tcPr>
          <w:p w14:paraId="000000A2"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bookmarkStart w:id="31" w:name="_heading=h.147n2zr" w:colFirst="0" w:colLast="0"/>
            <w:bookmarkEnd w:id="31"/>
            <w:r w:rsidRPr="00F31152">
              <w:rPr>
                <w:rFonts w:ascii="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D2585F" w:rsidRPr="00F31152" w14:paraId="55C4FE7F" w14:textId="77777777">
        <w:trPr>
          <w:trHeight w:val="567"/>
        </w:trPr>
        <w:tc>
          <w:tcPr>
            <w:tcW w:w="3097" w:type="dxa"/>
          </w:tcPr>
          <w:p w14:paraId="000000A3"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“UK Public Sector / CNI Contract Information”</w:t>
            </w:r>
          </w:p>
        </w:tc>
        <w:tc>
          <w:tcPr>
            <w:tcW w:w="5075" w:type="dxa"/>
          </w:tcPr>
          <w:p w14:paraId="000000A4"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bookmarkStart w:id="32" w:name="_heading=h.3o7alnk" w:colFirst="0" w:colLast="0"/>
            <w:bookmarkEnd w:id="32"/>
            <w:r w:rsidRPr="00F31152">
              <w:rPr>
                <w:rFonts w:ascii="Arial" w:hAnsi="Arial" w:cs="Arial"/>
                <w:sz w:val="24"/>
                <w:szCs w:val="24"/>
              </w:rPr>
              <w:t>means the information relating to the Supplier Group to be provided by the Supplier in accordance with Paragraphs 3 to 5 and Appendix 2 of Part B of Annex 1;</w:t>
            </w:r>
          </w:p>
        </w:tc>
      </w:tr>
    </w:tbl>
    <w:p w14:paraId="000000A5" w14:textId="77777777" w:rsidR="00D2585F" w:rsidRPr="00F31152" w:rsidRDefault="00BD1A53">
      <w:pPr>
        <w:pBdr>
          <w:top w:val="nil"/>
          <w:left w:val="nil"/>
          <w:bottom w:val="nil"/>
          <w:right w:val="nil"/>
          <w:between w:val="nil"/>
        </w:pBdr>
        <w:spacing w:before="120" w:after="120"/>
        <w:ind w:left="0"/>
        <w:jc w:val="left"/>
        <w:rPr>
          <w:b/>
          <w:color w:val="000000"/>
          <w:sz w:val="32"/>
          <w:szCs w:val="32"/>
        </w:rPr>
      </w:pPr>
      <w:sdt>
        <w:sdtPr>
          <w:tag w:val="goog_rdk_2"/>
          <w:id w:val="46725663"/>
        </w:sdtPr>
        <w:sdtEndPr/>
        <w:sdtContent/>
      </w:sdt>
      <w:r w:rsidR="00665111" w:rsidRPr="00F31152">
        <w:rPr>
          <w:b/>
          <w:color w:val="000000"/>
          <w:sz w:val="32"/>
          <w:szCs w:val="32"/>
        </w:rPr>
        <w:t>Part A: Insolvency Continuity Plan</w:t>
      </w:r>
    </w:p>
    <w:p w14:paraId="000000A6"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sidRPr="00F31152">
        <w:rPr>
          <w:rFonts w:eastAsia="Arial"/>
          <w:b/>
          <w:color w:val="000000"/>
          <w:sz w:val="24"/>
          <w:szCs w:val="24"/>
        </w:rPr>
        <w:t>Service Continuity Plan: Section 4 – Insolvency Continuity Plan</w:t>
      </w:r>
    </w:p>
    <w:p w14:paraId="000000A7"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In addition to the sections detailed in Paragraph 2.3 of Call-Off Schedule 8, the BCDR plan shall have a Section 4 which shall relate to an Insolvency Event of the Supplier, and Key-Subcontractors and/or any Supplier Group member (the “</w:t>
      </w:r>
      <w:r w:rsidRPr="00F31152">
        <w:rPr>
          <w:rFonts w:eastAsia="Arial"/>
          <w:b/>
          <w:color w:val="000000"/>
          <w:sz w:val="24"/>
          <w:szCs w:val="24"/>
        </w:rPr>
        <w:t>Insolvency Continuity Plan</w:t>
      </w:r>
      <w:r w:rsidRPr="00F31152">
        <w:rPr>
          <w:rFonts w:eastAsia="Arial"/>
          <w:color w:val="000000"/>
          <w:sz w:val="24"/>
          <w:szCs w:val="24"/>
        </w:rPr>
        <w:t xml:space="preserve">”). </w:t>
      </w:r>
    </w:p>
    <w:p w14:paraId="000000A8"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lastRenderedPageBreak/>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000000A9"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Insolvency Continuity Plan shall include the following:</w:t>
      </w:r>
    </w:p>
    <w:p w14:paraId="000000AA"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14:paraId="000000AB"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000000AC"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plans to manage and mitigate identified risks;</w:t>
      </w:r>
    </w:p>
    <w:p w14:paraId="000000AD"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details of the roles and responsibilities of the Supplier, Key Subcontractors and/or Supplier Group members to minimise and mitigate the effects of an Insolvency Event of such persons on the Deliverables;</w:t>
      </w:r>
    </w:p>
    <w:p w14:paraId="000000AE"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details of the recovery team to be put in place by the Supplier (which may include representatives of the Supplier, Key Subcontractors and Supplier Group members); and</w:t>
      </w:r>
    </w:p>
    <w:p w14:paraId="000000AF"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sufficient detail to enable an appointed insolvency practitioner to invoke the plan in the event of an Insolvency Event of the Supplier.</w:t>
      </w:r>
    </w:p>
    <w:p w14:paraId="000000B0" w14:textId="77777777" w:rsidR="00D2585F" w:rsidRPr="00F31152" w:rsidRDefault="00665111">
      <w:pPr>
        <w:keepNext/>
        <w:numPr>
          <w:ilvl w:val="2"/>
          <w:numId w:val="1"/>
        </w:numPr>
        <w:pBdr>
          <w:top w:val="nil"/>
          <w:left w:val="nil"/>
          <w:bottom w:val="nil"/>
          <w:right w:val="nil"/>
          <w:between w:val="nil"/>
        </w:pBdr>
        <w:spacing w:before="120" w:after="120"/>
        <w:jc w:val="left"/>
        <w:rPr>
          <w:color w:val="000000"/>
          <w:sz w:val="24"/>
          <w:szCs w:val="24"/>
        </w:rPr>
      </w:pPr>
      <w:r w:rsidRPr="00F31152">
        <w:rPr>
          <w:sz w:val="24"/>
          <w:szCs w:val="24"/>
        </w:rPr>
        <w:t xml:space="preserve">In addition to the provisions of Paragraph 3.1.1 of Call-Off Schedule 8, </w:t>
      </w:r>
      <w:r w:rsidRPr="00F31152">
        <w:rPr>
          <w:color w:val="000000"/>
          <w:sz w:val="24"/>
          <w:szCs w:val="24"/>
        </w:rPr>
        <w:t>Section 1 of the BCDR Plan shall:</w:t>
      </w:r>
    </w:p>
    <w:p w14:paraId="000000B1"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p>
    <w:p w14:paraId="000000B2"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contain an obligation upon the Supplier to liaise with the Buyer and (at the Buyer’s request) any Related Supplier with respect to issues concerning insolvency continuity where applicable; and</w:t>
      </w:r>
    </w:p>
    <w:p w14:paraId="000000B3"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detail how the BCDR Plan links and interoperates with any overarching and/or connected insolvency continuity plan of the Buyer and any of its other Related Service Suppliers in each case as notified to the Supplier by the Buyer from time to time.</w:t>
      </w:r>
    </w:p>
    <w:p w14:paraId="000000B4"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lastRenderedPageBreak/>
        <w:t>The Insolvency Continuity Plan element of the BCDR Plan, including any linked elements in other parts of the BCDR Plan, shall be invoked by the Supplier:</w:t>
      </w:r>
    </w:p>
    <w:p w14:paraId="000000B5"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where an Insolvency Event of a Key Sub-contractor and/or Supplier Group member (other than the Supplier) could reasonably be expected to adversely affect delivery of the Deliverables; and/or</w:t>
      </w:r>
    </w:p>
    <w:p w14:paraId="000000B6"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where there is an Insolvency Event of the Supplier and the insolvency arrangements enable the Supplier to invoke the plan.</w:t>
      </w:r>
    </w:p>
    <w:p w14:paraId="000000B7" w14:textId="77777777" w:rsidR="00D2585F" w:rsidRPr="00F31152" w:rsidRDefault="00665111">
      <w:pPr>
        <w:ind w:firstLine="1418"/>
        <w:rPr>
          <w:rFonts w:eastAsia="Calibri"/>
        </w:rPr>
      </w:pPr>
      <w:r w:rsidRPr="00F31152">
        <w:br w:type="page"/>
      </w:r>
    </w:p>
    <w:p w14:paraId="000000B8" w14:textId="77777777" w:rsidR="00D2585F" w:rsidRPr="00F31152" w:rsidRDefault="00665111">
      <w:pPr>
        <w:pBdr>
          <w:top w:val="nil"/>
          <w:left w:val="nil"/>
          <w:bottom w:val="nil"/>
          <w:right w:val="nil"/>
          <w:between w:val="nil"/>
        </w:pBdr>
        <w:spacing w:before="120" w:after="120"/>
        <w:ind w:left="720" w:hanging="720"/>
        <w:rPr>
          <w:rFonts w:eastAsia="Arial"/>
          <w:b/>
          <w:color w:val="000000"/>
          <w:sz w:val="32"/>
          <w:szCs w:val="32"/>
        </w:rPr>
      </w:pPr>
      <w:r w:rsidRPr="00F31152">
        <w:rPr>
          <w:rFonts w:eastAsia="Arial"/>
          <w:b/>
          <w:color w:val="000000"/>
          <w:sz w:val="32"/>
          <w:szCs w:val="32"/>
        </w:rPr>
        <w:lastRenderedPageBreak/>
        <w:t>Part B:  Corporate Resolution Planning</w:t>
      </w:r>
    </w:p>
    <w:p w14:paraId="000000B9"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Service Status and Supplier Status</w:t>
      </w:r>
    </w:p>
    <w:p w14:paraId="000000BA" w14:textId="2330B8A9"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 xml:space="preserve">This Contract </w:t>
      </w:r>
      <w:r w:rsidRPr="000D0612">
        <w:rPr>
          <w:rFonts w:eastAsia="Arial"/>
          <w:color w:val="000000"/>
          <w:sz w:val="24"/>
          <w:szCs w:val="24"/>
        </w:rPr>
        <w:t>‘is’</w:t>
      </w:r>
      <w:r w:rsidRPr="00F31152">
        <w:rPr>
          <w:rFonts w:eastAsia="Arial"/>
          <w:color w:val="000000"/>
          <w:sz w:val="24"/>
          <w:szCs w:val="24"/>
        </w:rPr>
        <w:t xml:space="preserve"> a Critical Service Contract.</w:t>
      </w:r>
    </w:p>
    <w:p w14:paraId="000000BB"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notify the Buyer in writing within 5 Working Days of the Effective Date and throughout the Call-Off Contract Period within 120 days after each Accounting Reference Date as to whether or not it is a Public Sector Dependent Supplier.</w:t>
      </w:r>
    </w:p>
    <w:p w14:paraId="000000BC"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Provision of Corporate Resolution Planning Information</w:t>
      </w:r>
    </w:p>
    <w:p w14:paraId="000000BD"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Paragraphs 3 to 5 of this Part B shall apply if the Contract has been specified as a Critical Service Contract under Paragraph 2.1 of this Part B or the Supplier is or becomes a Public Sector Dependent Supplier.</w:t>
      </w:r>
    </w:p>
    <w:p w14:paraId="000000BE"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Subject to Paragraphs 3.6, 3.10 and 3.11 of this Part B:</w:t>
      </w:r>
    </w:p>
    <w:p w14:paraId="000000BF"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where the Contract is a Critical Service Contract, the Supplier shall provide the Relevant Authority or Relevant Authorities</w:t>
      </w:r>
      <w:r w:rsidRPr="00F31152">
        <w:rPr>
          <w:sz w:val="28"/>
          <w:szCs w:val="28"/>
        </w:rPr>
        <w:t xml:space="preserve"> </w:t>
      </w:r>
      <w:r w:rsidRPr="00F31152">
        <w:rPr>
          <w:sz w:val="24"/>
          <w:szCs w:val="24"/>
        </w:rPr>
        <w:t>with the CRP Information within 60 days of the Effective Date; and</w:t>
      </w:r>
    </w:p>
    <w:p w14:paraId="000000C0"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except where it has already been provided in accordance with Paragraph 11.2(a) of this Part B, where the Supplier is a Public Sector Dependent Supplier, it shall provide the Relevant Authority or Relevant Authorities with the CRP Information within 60 days of the date of the Relevant Authority’s or Relevant Authorities’ request.</w:t>
      </w:r>
    </w:p>
    <w:p w14:paraId="000000C1"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ensure that the CRP Information provided pursuant to Paragraphs 3.2, 3.8 and 3.9 of this Part B:</w:t>
      </w:r>
    </w:p>
    <w:p w14:paraId="000000C2"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is full, comprehensive, accurate and up to date;</w:t>
      </w:r>
    </w:p>
    <w:p w14:paraId="000000C3"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is split into two parts:</w:t>
      </w:r>
    </w:p>
    <w:p w14:paraId="000000C4"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Group Structure Information and Resolution Commentary;</w:t>
      </w:r>
    </w:p>
    <w:p w14:paraId="000000C5"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14:paraId="000000C6"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incorporates any additional commentary, supporting documents and evidence which would reasonably be required by the Relevant Authority or Relevant Authorities to understand and consider the information for approval;</w:t>
      </w:r>
    </w:p>
    <w:p w14:paraId="000000C7"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 xml:space="preserve">provides a clear description and explanation of the Supplier Group members that have agreements for goods, services or works provision </w:t>
      </w:r>
      <w:r w:rsidRPr="00F31152">
        <w:rPr>
          <w:sz w:val="24"/>
          <w:szCs w:val="24"/>
        </w:rPr>
        <w:lastRenderedPageBreak/>
        <w:t>in respect of UK Public Sector Business and/or Critical National Infrastructure and the nature of those agreements; and</w:t>
      </w:r>
    </w:p>
    <w:p w14:paraId="000000C8"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complies with the requirements set out at Appendix 1 (Group Structure Information and Resolution Commentary) and Appendix 2 (UK Public Sector / CNI Contract Information) respectively.</w:t>
      </w:r>
    </w:p>
    <w:p w14:paraId="000000C9"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Following receipt by the Relevant Authority or Relevant Authorities of the CRP Information pursuant to Paragraphs 3.2, 3.8 and 3.9 of this Part B, the Buyer shall procure that the Relevant Authority or Relevant Authorities shall discuss in good faith the contents of the CRP Information with the Supplier and no later than 60 days after the date on which the CRP Information was delivered by the Supplier either provide an Assurance to the Supplier that the Relevant Authority or Relevant Authorities approves the CRP Information or that the Relevant Authority or Relevant Authorities rejects the CRP Information.</w:t>
      </w:r>
    </w:p>
    <w:p w14:paraId="000000CA"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If the Relevant Authority or Relevant Authorities rejects the CRP Information:</w:t>
      </w:r>
    </w:p>
    <w:p w14:paraId="000000CB"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Buyer shall (and shall procure that the Cabinet Office Markets and Suppliers Team shall) inform the Supplier in writing of its reasons for its rejection; and</w:t>
      </w:r>
    </w:p>
    <w:p w14:paraId="000000CC"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Supplier shall revise the CRP Information, taking reasonable account of the Relevant Authority’s or Relevant Authorities’ comments, and shall re-submit the CRP Information to the Relevant Authority or Relevant Authorities for approval within 30 days of the date of the Relevant Authority’s or Relevant Authorities’ rejection. The provisions of paragraph 3.3 to 3.5 of this Part B shall apply again to any resubmitted CRP Information provided that either Party may refer any disputed matters for resolution by the Dispute Resolution Procedure under Clause 34 of the Core Terms at any time.</w:t>
      </w:r>
    </w:p>
    <w:p w14:paraId="000000CD"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Relevant Authority or Relevant Authorities on or before the date on which the CRP Information would otherwise have been required.</w:t>
      </w:r>
    </w:p>
    <w:p w14:paraId="000000CE"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An Assurance shall be deemed Valid for the purposes of Paragraph 3.6 of this Part B if:</w:t>
      </w:r>
    </w:p>
    <w:p w14:paraId="000000CF"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 xml:space="preserve">the Assurance is within the validity period stated in the Assurance (or, if no validity period is stated, no more than 12 months has elapsed since it was issued and no more than 18 months has elapsed since the </w:t>
      </w:r>
      <w:r w:rsidRPr="00F31152">
        <w:rPr>
          <w:sz w:val="24"/>
          <w:szCs w:val="24"/>
        </w:rPr>
        <w:lastRenderedPageBreak/>
        <w:t>Accounting Reference Date on which the CRP Information was based); and</w:t>
      </w:r>
    </w:p>
    <w:p w14:paraId="000000D0"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000000D1"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If the Contract is a Critical Service Contract, the Supplier shall provide an updated version of the CRP Information (or, in the case of Paragraph 3.8(c) of this Part B its initial CRP Information) to the Relevant Authority or Relevant Authorities:</w:t>
      </w:r>
    </w:p>
    <w:p w14:paraId="000000D2"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within 14 days of the occurrence of a Financial Distress Event (along with any additional highly confidential information no longer exempted from disclosure under Paragraph 3.11 of this Part B) unless the Supplier is relieved of the consequences of the Financial Distress Event under Paragraph 7.1 of Annex 3 to Joint Schedule 7 (Financial Distress) (if applicable);</w:t>
      </w:r>
    </w:p>
    <w:p w14:paraId="000000D3"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within 30 days of a Corporate Change Event unless not required pursuant to Paragraph 3.10;</w:t>
      </w:r>
    </w:p>
    <w:p w14:paraId="000000D4"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within 30 days of the date that:</w:t>
      </w:r>
    </w:p>
    <w:p w14:paraId="000000D5"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the credit rating(s) of each of the Supplier and its Parent Undertakings fail to meet any of the criteria specified in Paragraph 3.10; or</w:t>
      </w:r>
    </w:p>
    <w:p w14:paraId="000000D6"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none of the credit rating agencies specified at Paragraph 3.10 hold a public credit rating for the Supplier or any of its Parent Undertakings; and</w:t>
      </w:r>
    </w:p>
    <w:p w14:paraId="000000D7"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in any event, within 6 months after each Accounting Reference Date or within 15 months of the date of the previous Assurance received from the Relevant Authority (whichever is the earlier), unless:</w:t>
      </w:r>
    </w:p>
    <w:p w14:paraId="000000D8"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updated CRP Information has been provided under any of Paragraphs 38(a) 3.8(b) or 3.8(c) since the most recent Accounting Reference Date (being no more than 12 months previously) within the timescales that would ordinarily be required for the provision of that information under this Paragraph 3.8(d); or</w:t>
      </w:r>
    </w:p>
    <w:p w14:paraId="000000D9"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unless not required pursuant to Paragraph 3.10.</w:t>
      </w:r>
    </w:p>
    <w:p w14:paraId="000000DA"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Where the Supplier is a Public Sector Dependent Supplier and the Contract is not a Critical Service Contract, then on the occurrence of any of the events   specified in Paragraphs 3.8(a) to (d) of this Part B, the Supplier shall provide at the request of the Relevant Authority or Relevant Authorities and within the applicable timescales for each event as set out in Paragraph 3.8 (or such longer timescales as may be notified to the Supplier by the Buyer), the CRP Information to the Relevant Authority or Relevant Authorities.</w:t>
      </w:r>
    </w:p>
    <w:p w14:paraId="000000DB"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lastRenderedPageBreak/>
        <w:t>Where the Supplier or a Parent Undertaking of the Supplier has a credit rating of either:</w:t>
      </w:r>
    </w:p>
    <w:p w14:paraId="000000DC"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Aa3 or better from Moody’s;</w:t>
      </w:r>
    </w:p>
    <w:p w14:paraId="000000DD"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AA- or better from Standard and Poors;</w:t>
      </w:r>
    </w:p>
    <w:p w14:paraId="000000DE"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AA- or better from Fitch;</w:t>
      </w:r>
    </w:p>
    <w:p w14:paraId="000000DF" w14:textId="77777777" w:rsidR="00D2585F" w:rsidRPr="00F31152" w:rsidRDefault="00665111">
      <w:pPr>
        <w:keepNext/>
        <w:pBdr>
          <w:top w:val="nil"/>
          <w:left w:val="nil"/>
          <w:bottom w:val="nil"/>
          <w:right w:val="nil"/>
          <w:between w:val="nil"/>
        </w:pBdr>
        <w:spacing w:before="120" w:after="120"/>
        <w:ind w:left="720"/>
        <w:jc w:val="left"/>
        <w:rPr>
          <w:sz w:val="24"/>
          <w:szCs w:val="24"/>
        </w:rPr>
      </w:pPr>
      <w:r w:rsidRPr="00F31152">
        <w:rPr>
          <w:sz w:val="24"/>
          <w:szCs w:val="24"/>
        </w:rPr>
        <w:t>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3.10, in which cases the Supplier shall provide the updated version of the CRP Information in accordance with paragraph 3.8.</w:t>
      </w:r>
    </w:p>
    <w:p w14:paraId="000000E0"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Subject to Paragraph 5, where the Supplier demonstrates to the reasonable satisfaction of the Relevant Authority or Relevant Authorities that a particular item of CRP Information is highly confidential, the Supplier may, having orally disclosed and discussed that information with the Relevant Authority or Relevant Authorities, redact or omit that information from the CRP Information provided that if a Financial Distress Event occurs, this exemption shall no longer apply and the Supplier shall promptly provide the relevant information to the Relevant Authority or Relevant Authorities to the extent required under Paragraph 3.8.</w:t>
      </w:r>
    </w:p>
    <w:p w14:paraId="000000E1"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Termination Rights</w:t>
      </w:r>
    </w:p>
    <w:p w14:paraId="000000E2" w14:textId="77777777" w:rsidR="00D2585F" w:rsidRPr="00F31152" w:rsidRDefault="00BD1A53">
      <w:pPr>
        <w:numPr>
          <w:ilvl w:val="1"/>
          <w:numId w:val="1"/>
        </w:numPr>
        <w:pBdr>
          <w:top w:val="nil"/>
          <w:left w:val="nil"/>
          <w:bottom w:val="nil"/>
          <w:right w:val="nil"/>
          <w:between w:val="nil"/>
        </w:pBdr>
        <w:spacing w:before="120" w:after="120"/>
        <w:rPr>
          <w:rFonts w:eastAsia="Arial"/>
          <w:color w:val="000000"/>
          <w:sz w:val="24"/>
          <w:szCs w:val="24"/>
        </w:rPr>
      </w:pPr>
      <w:sdt>
        <w:sdtPr>
          <w:tag w:val="goog_rdk_3"/>
          <w:id w:val="-1108580373"/>
        </w:sdtPr>
        <w:sdtEndPr/>
        <w:sdtContent/>
      </w:sdt>
      <w:r w:rsidR="00665111" w:rsidRPr="00F31152">
        <w:rPr>
          <w:rFonts w:eastAsia="Arial"/>
          <w:color w:val="000000"/>
          <w:sz w:val="24"/>
          <w:szCs w:val="24"/>
        </w:rPr>
        <w:t>The Buyer shall be entitled to terminate the Contract if the Supplier is required to provide CRP Information under Paragraph 3 of this Part B and either:</w:t>
      </w:r>
    </w:p>
    <w:p w14:paraId="000000E3"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Supplier fails to provide the CRP Information within 4 months of the Effective Date if this is a Critical Service Contract or otherwise within 4 months of the Relevant Authority’s or Relevant Authorities’ request; or</w:t>
      </w:r>
    </w:p>
    <w:p w14:paraId="000000E4"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Supplier fails to obtain an Assurance from the Relevant Authority or Relevant Authorities within 4 months of the date that it was first required to provide the CRP Information under the Contract,</w:t>
      </w:r>
    </w:p>
    <w:p w14:paraId="000000E5" w14:textId="77777777" w:rsidR="00D2585F" w:rsidRPr="00F31152" w:rsidRDefault="00665111">
      <w:pPr>
        <w:pBdr>
          <w:top w:val="nil"/>
          <w:left w:val="nil"/>
          <w:bottom w:val="nil"/>
          <w:right w:val="nil"/>
          <w:between w:val="nil"/>
        </w:pBdr>
        <w:spacing w:before="120" w:after="120"/>
        <w:ind w:left="720" w:hanging="720"/>
        <w:rPr>
          <w:rFonts w:eastAsia="Arial"/>
          <w:color w:val="000000"/>
          <w:sz w:val="24"/>
          <w:szCs w:val="24"/>
        </w:rPr>
      </w:pPr>
      <w:r w:rsidRPr="00F31152">
        <w:rPr>
          <w:rFonts w:eastAsia="Arial"/>
          <w:color w:val="000000"/>
          <w:sz w:val="24"/>
          <w:szCs w:val="24"/>
        </w:rPr>
        <w:t>which shall be deemed to be an event to which Clause 10.4.1 of the Core Terms applies and Clauses 10.6.1 and 10.6.2 of the Core Terms shall apply accordingly.</w:t>
      </w:r>
    </w:p>
    <w:p w14:paraId="000000E6"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Confidentiality and usage of CRP Information</w:t>
      </w:r>
    </w:p>
    <w:p w14:paraId="000000E7"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000000E8"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bookmarkStart w:id="33" w:name="_heading=h.23ckvvd" w:colFirst="0" w:colLast="0"/>
      <w:bookmarkEnd w:id="33"/>
      <w:r w:rsidRPr="00F31152">
        <w:rPr>
          <w:rFonts w:eastAsia="Arial"/>
          <w:color w:val="000000"/>
          <w:sz w:val="24"/>
          <w:szCs w:val="24"/>
        </w:rPr>
        <w:lastRenderedPageBreak/>
        <w:t>Where the Relevant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of this Part B and Clause 15 of the Core Terms.</w:t>
      </w:r>
    </w:p>
    <w:p w14:paraId="000000E9"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use reasonable endeavours to obtain consent from any third party which has restricted the disclosure of the CRP Information to enable disclosure of that information to the Relevant Authority or Relevant Authorities pursuant to Paragraph 3 of this Part B subject, where necessary, to the Relevant Authority or Relevant Authorities entering into an appropriate confidentiality agreement in the form required by the third party.</w:t>
      </w:r>
    </w:p>
    <w:p w14:paraId="000000EA"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Where the Supplier is unable to procure consent pursuant to Paragraph 5.3 of this Part B, the Supplier shall use all reasonable endeavours to disclose the CRP Information to the fullest extent possible by limiting the amount of information it withholds including by:</w:t>
      </w:r>
    </w:p>
    <w:p w14:paraId="000000EB"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redacting only those parts of the information which are subject to such obligations of confidentiality;</w:t>
      </w:r>
    </w:p>
    <w:p w14:paraId="000000EC"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providing the information in a form that does not breach its obligations of confidentiality including (where possible) by:</w:t>
      </w:r>
    </w:p>
    <w:p w14:paraId="000000ED"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summarising the information;</w:t>
      </w:r>
    </w:p>
    <w:p w14:paraId="000000EE"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grouping the information;</w:t>
      </w:r>
    </w:p>
    <w:p w14:paraId="000000EF"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anonymising the information; and</w:t>
      </w:r>
    </w:p>
    <w:p w14:paraId="000000F0"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presenting the information in general terms</w:t>
      </w:r>
    </w:p>
    <w:p w14:paraId="000000F1"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provide the Relevant Authority or Relevant Authorities with contact details of any third party which has not provided consent to disclose CRP Information where that third party is also a public sector body and where the Supplier is legally permitted to do so.</w:t>
      </w:r>
    </w:p>
    <w:p w14:paraId="000000F2" w14:textId="77777777" w:rsidR="00D2585F" w:rsidRPr="00F31152" w:rsidRDefault="00D2585F">
      <w:pPr>
        <w:pBdr>
          <w:top w:val="nil"/>
          <w:left w:val="nil"/>
          <w:bottom w:val="nil"/>
          <w:right w:val="nil"/>
          <w:between w:val="nil"/>
        </w:pBdr>
        <w:spacing w:before="120" w:after="120"/>
        <w:ind w:left="720" w:hanging="720"/>
        <w:rPr>
          <w:rFonts w:eastAsia="Calibri"/>
          <w:color w:val="000000"/>
        </w:rPr>
      </w:pPr>
    </w:p>
    <w:p w14:paraId="000000F3" w14:textId="77777777" w:rsidR="00D2585F" w:rsidRPr="00F31152" w:rsidRDefault="00665111">
      <w:pPr>
        <w:ind w:firstLine="1418"/>
      </w:pPr>
      <w:r w:rsidRPr="00F31152">
        <w:br w:type="page"/>
      </w:r>
    </w:p>
    <w:p w14:paraId="000000F4" w14:textId="77777777" w:rsidR="00D2585F" w:rsidRPr="00F31152" w:rsidRDefault="00665111">
      <w:pPr>
        <w:ind w:left="0"/>
        <w:rPr>
          <w:b/>
          <w:sz w:val="32"/>
          <w:szCs w:val="32"/>
        </w:rPr>
      </w:pPr>
      <w:r w:rsidRPr="00F31152">
        <w:rPr>
          <w:b/>
          <w:sz w:val="32"/>
          <w:szCs w:val="32"/>
        </w:rPr>
        <w:lastRenderedPageBreak/>
        <w:t>Appendix 1: Group structure information and resolution commentary</w:t>
      </w:r>
    </w:p>
    <w:p w14:paraId="000000F5" w14:textId="77777777" w:rsidR="00D2585F" w:rsidRPr="00F31152" w:rsidRDefault="00665111">
      <w:pPr>
        <w:numPr>
          <w:ilvl w:val="0"/>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The Supplier shall:</w:t>
      </w:r>
    </w:p>
    <w:p w14:paraId="000000F6"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sufficient information to allow the Relevant Authority to understand the implications on the Supplier Group’s UK Public Sector Business and CNI contracts listed pursuant to Appendix 2 if the Supplier or another member of the Supplier Group is subject to an Insolvency Event;</w:t>
      </w:r>
    </w:p>
    <w:p w14:paraId="000000F7"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ensure that the information is presented so as to provide a simple, effective and easily understood overview of the Supplier Group; and</w:t>
      </w:r>
    </w:p>
    <w:p w14:paraId="000000F8"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full details of the importance of each member of the Supplier Group to the Supplier Group’s UK Public Sector Business and CNI contracts listed pursuant to Appendix 2 and the dependencies between each.</w:t>
      </w:r>
    </w:p>
    <w:p w14:paraId="000000F9" w14:textId="77777777" w:rsidR="00D2585F" w:rsidRPr="00F31152" w:rsidRDefault="00665111">
      <w:pPr>
        <w:ind w:firstLine="1418"/>
      </w:pPr>
      <w:r w:rsidRPr="00F31152">
        <w:br w:type="page"/>
      </w:r>
    </w:p>
    <w:p w14:paraId="000000FA" w14:textId="77777777" w:rsidR="00D2585F" w:rsidRPr="00F31152" w:rsidRDefault="00665111">
      <w:pPr>
        <w:ind w:left="0"/>
        <w:rPr>
          <w:b/>
          <w:sz w:val="32"/>
          <w:szCs w:val="32"/>
        </w:rPr>
      </w:pPr>
      <w:r w:rsidRPr="00F31152">
        <w:rPr>
          <w:b/>
          <w:sz w:val="32"/>
          <w:szCs w:val="32"/>
        </w:rPr>
        <w:lastRenderedPageBreak/>
        <w:t>Appendix 2: UK Public Sector / CNI Contract Information</w:t>
      </w:r>
    </w:p>
    <w:p w14:paraId="000000FB" w14:textId="77777777" w:rsidR="00D2585F" w:rsidRPr="00F31152" w:rsidRDefault="00665111">
      <w:pPr>
        <w:numPr>
          <w:ilvl w:val="0"/>
          <w:numId w:val="5"/>
        </w:numPr>
        <w:pBdr>
          <w:top w:val="nil"/>
          <w:left w:val="nil"/>
          <w:bottom w:val="nil"/>
          <w:right w:val="nil"/>
          <w:between w:val="nil"/>
        </w:pBdr>
        <w:rPr>
          <w:rFonts w:eastAsia="Arial"/>
          <w:color w:val="000000"/>
          <w:sz w:val="24"/>
          <w:szCs w:val="24"/>
        </w:rPr>
      </w:pPr>
      <w:r w:rsidRPr="00F31152">
        <w:rPr>
          <w:rFonts w:eastAsia="Arial"/>
          <w:color w:val="000000"/>
          <w:sz w:val="24"/>
          <w:szCs w:val="24"/>
        </w:rPr>
        <w:t>The Supplier shall:</w:t>
      </w:r>
    </w:p>
    <w:p w14:paraId="000000FC"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details of all agreements held by members of the Supplier Group where those agreements are for goods, services or works provision and:</w:t>
      </w:r>
    </w:p>
    <w:p w14:paraId="000000FD" w14:textId="77777777" w:rsidR="00D2585F" w:rsidRPr="00F31152" w:rsidRDefault="00665111">
      <w:pPr>
        <w:numPr>
          <w:ilvl w:val="2"/>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000000FE" w14:textId="77777777" w:rsidR="00D2585F" w:rsidRPr="00F31152" w:rsidRDefault="00665111">
      <w:pPr>
        <w:numPr>
          <w:ilvl w:val="2"/>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000000FF" w14:textId="77777777" w:rsidR="00D2585F" w:rsidRPr="00F31152" w:rsidRDefault="00665111">
      <w:pPr>
        <w:numPr>
          <w:ilvl w:val="2"/>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involve or could reasonably be considered to involve CNI;</w:t>
      </w:r>
    </w:p>
    <w:p w14:paraId="00000100"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the Relevant Authority with a copy of the latest version of each underlying contract worth more than £5m per contract year and their related key sub-contracts, which shall be included as embedded documents within the CRP Information or via a directly accessible link.</w:t>
      </w:r>
    </w:p>
    <w:sectPr w:rsidR="00D2585F" w:rsidRPr="00F31152">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BEECB" w14:textId="77777777" w:rsidR="00BD1A53" w:rsidRDefault="00BD1A53">
      <w:pPr>
        <w:spacing w:after="0"/>
      </w:pPr>
      <w:r>
        <w:separator/>
      </w:r>
    </w:p>
  </w:endnote>
  <w:endnote w:type="continuationSeparator" w:id="0">
    <w:p w14:paraId="47EF17E0" w14:textId="77777777" w:rsidR="00BD1A53" w:rsidRDefault="00BD1A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5" w14:textId="77777777" w:rsidR="00D2585F" w:rsidRDefault="00D2585F">
    <w:pPr>
      <w:tabs>
        <w:tab w:val="center" w:pos="4513"/>
        <w:tab w:val="right" w:pos="9026"/>
      </w:tabs>
      <w:spacing w:after="0"/>
      <w:ind w:left="0"/>
      <w:rPr>
        <w:rFonts w:ascii="Calibri" w:eastAsia="Calibri" w:hAnsi="Calibri" w:cs="Calibri"/>
        <w:color w:val="A6A6A6"/>
      </w:rPr>
    </w:pPr>
  </w:p>
  <w:p w14:paraId="00000106" w14:textId="03564D33"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sidR="00DC5E87">
      <w:rPr>
        <w:color w:val="000000"/>
        <w:sz w:val="20"/>
        <w:szCs w:val="20"/>
      </w:rPr>
      <w:t>6232</w:t>
    </w:r>
  </w:p>
  <w:p w14:paraId="00000107" w14:textId="6D95AA09"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DC5E87">
      <w:rPr>
        <w:noProof/>
        <w:color w:val="000000"/>
        <w:sz w:val="20"/>
        <w:szCs w:val="20"/>
      </w:rPr>
      <w:t>1</w:t>
    </w:r>
    <w:r>
      <w:rPr>
        <w:color w:val="000000"/>
        <w:sz w:val="20"/>
        <w:szCs w:val="20"/>
      </w:rPr>
      <w:fldChar w:fldCharType="end"/>
    </w:r>
  </w:p>
  <w:p w14:paraId="00000108" w14:textId="77777777" w:rsidR="00D2585F" w:rsidRDefault="00665111">
    <w:pPr>
      <w:pBdr>
        <w:top w:val="nil"/>
        <w:left w:val="nil"/>
        <w:bottom w:val="nil"/>
        <w:right w:val="nil"/>
        <w:between w:val="nil"/>
      </w:pBdr>
      <w:tabs>
        <w:tab w:val="center" w:pos="4513"/>
        <w:tab w:val="right" w:pos="9026"/>
      </w:tabs>
      <w:spacing w:after="0"/>
      <w:ind w:left="0"/>
      <w:rPr>
        <w:color w:val="A6A6A6"/>
        <w:sz w:val="20"/>
        <w:szCs w:val="20"/>
      </w:rPr>
    </w:pPr>
    <w:r>
      <w:rPr>
        <w:color w:val="000000"/>
        <w:sz w:val="20"/>
        <w:szCs w:val="20"/>
      </w:rPr>
      <w:t>Model Version: v3.</w:t>
    </w:r>
    <w:r>
      <w:rPr>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9" w14:textId="77777777"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0000010A" w14:textId="77777777"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0000010B" w14:textId="77777777"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B644E" w14:textId="77777777" w:rsidR="00BD1A53" w:rsidRDefault="00BD1A53">
      <w:pPr>
        <w:spacing w:after="0"/>
      </w:pPr>
      <w:r>
        <w:separator/>
      </w:r>
    </w:p>
  </w:footnote>
  <w:footnote w:type="continuationSeparator" w:id="0">
    <w:p w14:paraId="6581E620" w14:textId="77777777" w:rsidR="00BD1A53" w:rsidRDefault="00BD1A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1" w14:textId="77777777" w:rsidR="00D2585F" w:rsidRDefault="00665111">
    <w:pPr>
      <w:tabs>
        <w:tab w:val="center" w:pos="4513"/>
        <w:tab w:val="right" w:pos="9026"/>
      </w:tabs>
      <w:spacing w:after="0"/>
      <w:ind w:left="0"/>
      <w:jc w:val="left"/>
      <w:rPr>
        <w:sz w:val="20"/>
        <w:szCs w:val="20"/>
      </w:rPr>
    </w:pPr>
    <w:r>
      <w:rPr>
        <w:b/>
        <w:sz w:val="20"/>
        <w:szCs w:val="20"/>
      </w:rPr>
      <w:t>Call-Off Schedule 8 (Business Continuity and Disaster Recovery)</w:t>
    </w:r>
  </w:p>
  <w:p w14:paraId="00000102" w14:textId="77777777" w:rsidR="00D2585F" w:rsidRDefault="00665111">
    <w:pPr>
      <w:tabs>
        <w:tab w:val="center" w:pos="4513"/>
        <w:tab w:val="right" w:pos="9026"/>
      </w:tabs>
      <w:spacing w:after="0"/>
      <w:ind w:left="0"/>
      <w:jc w:val="left"/>
      <w:rPr>
        <w:sz w:val="20"/>
        <w:szCs w:val="20"/>
      </w:rPr>
    </w:pPr>
    <w:r>
      <w:rPr>
        <w:sz w:val="20"/>
        <w:szCs w:val="20"/>
      </w:rPr>
      <w:t>Call-Off Ref:</w:t>
    </w:r>
  </w:p>
  <w:p w14:paraId="00000103" w14:textId="114B23C2" w:rsidR="00D2585F" w:rsidRDefault="003A3C52">
    <w:pPr>
      <w:tabs>
        <w:tab w:val="center" w:pos="4513"/>
        <w:tab w:val="right" w:pos="9026"/>
      </w:tabs>
      <w:spacing w:after="0"/>
      <w:ind w:left="0"/>
      <w:jc w:val="left"/>
      <w:rPr>
        <w:sz w:val="20"/>
        <w:szCs w:val="20"/>
      </w:rPr>
    </w:pPr>
    <w:r>
      <w:rPr>
        <w:sz w:val="20"/>
        <w:szCs w:val="20"/>
      </w:rPr>
      <w:t>Crown Copyright 2021</w:t>
    </w:r>
  </w:p>
  <w:p w14:paraId="2123CCA6" w14:textId="46DD1450" w:rsidR="000B4CFD" w:rsidRDefault="000B4CFD">
    <w:pPr>
      <w:tabs>
        <w:tab w:val="center" w:pos="4513"/>
        <w:tab w:val="right" w:pos="9026"/>
      </w:tabs>
      <w:spacing w:after="0"/>
      <w:ind w:left="0"/>
      <w:jc w:val="left"/>
      <w:rPr>
        <w:sz w:val="20"/>
        <w:szCs w:val="20"/>
      </w:rPr>
    </w:pPr>
    <w:r>
      <w:rPr>
        <w:sz w:val="20"/>
        <w:szCs w:val="20"/>
      </w:rPr>
      <w:t>OFFICIAL - SENSITIVE</w:t>
    </w:r>
  </w:p>
  <w:p w14:paraId="00000104" w14:textId="77777777" w:rsidR="00D2585F" w:rsidRDefault="00D2585F">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2365D"/>
    <w:multiLevelType w:val="multilevel"/>
    <w:tmpl w:val="AAE0F80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8E00FBD"/>
    <w:multiLevelType w:val="multilevel"/>
    <w:tmpl w:val="D58294B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2BF35698"/>
    <w:multiLevelType w:val="multilevel"/>
    <w:tmpl w:val="75DABCE0"/>
    <w:lvl w:ilvl="0">
      <w:start w:val="1"/>
      <w:numFmt w:val="decimal"/>
      <w:pStyle w:val="ScheduleText1"/>
      <w:lvlText w:val="%1"/>
      <w:lvlJc w:val="left"/>
      <w:pPr>
        <w:ind w:left="170" w:hanging="170"/>
      </w:pPr>
      <w:rPr>
        <w:rFonts w:ascii="Arial" w:eastAsia="Arial" w:hAnsi="Arial" w:cs="Arial"/>
        <w:sz w:val="22"/>
        <w:szCs w:val="22"/>
      </w:rPr>
    </w:lvl>
    <w:lvl w:ilvl="1">
      <w:start w:val="1"/>
      <w:numFmt w:val="lowerLetter"/>
      <w:pStyle w:val="ScheduleText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Text3"/>
      <w:lvlText w:val="%3)"/>
      <w:lvlJc w:val="left"/>
      <w:pPr>
        <w:ind w:left="1080" w:hanging="360"/>
      </w:pPr>
      <w:rPr>
        <w:rFonts w:ascii="Arial" w:eastAsia="Arial" w:hAnsi="Arial" w:cs="Arial"/>
        <w:sz w:val="22"/>
        <w:szCs w:val="22"/>
      </w:rPr>
    </w:lvl>
    <w:lvl w:ilvl="3">
      <w:start w:val="1"/>
      <w:numFmt w:val="decimal"/>
      <w:pStyle w:val="ScheduleText4"/>
      <w:lvlText w:val="(%4)"/>
      <w:lvlJc w:val="left"/>
      <w:pPr>
        <w:ind w:left="1440" w:hanging="360"/>
      </w:pPr>
    </w:lvl>
    <w:lvl w:ilvl="4">
      <w:start w:val="1"/>
      <w:numFmt w:val="lowerLetter"/>
      <w:pStyle w:val="ScheduleText5"/>
      <w:lvlText w:val="(%5)"/>
      <w:lvlJc w:val="left"/>
      <w:pPr>
        <w:ind w:left="1800" w:hanging="360"/>
      </w:pPr>
    </w:lvl>
    <w:lvl w:ilvl="5">
      <w:start w:val="1"/>
      <w:numFmt w:val="lowerRoman"/>
      <w:pStyle w:val="ScheduleText6"/>
      <w:lvlText w:val="(%6)"/>
      <w:lvlJc w:val="left"/>
      <w:pPr>
        <w:ind w:left="2160" w:hanging="360"/>
      </w:pPr>
    </w:lvl>
    <w:lvl w:ilvl="6">
      <w:start w:val="1"/>
      <w:numFmt w:val="decimal"/>
      <w:pStyle w:val="ScheduleText7"/>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A3A7494"/>
    <w:multiLevelType w:val="multilevel"/>
    <w:tmpl w:val="3200A37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3ECB2628"/>
    <w:multiLevelType w:val="multilevel"/>
    <w:tmpl w:val="08F8708A"/>
    <w:lvl w:ilvl="0">
      <w:start w:val="1"/>
      <w:numFmt w:val="decimal"/>
      <w:pStyle w:val="BulletsBody"/>
      <w:lvlText w:val="%1."/>
      <w:lvlJc w:val="left"/>
      <w:pPr>
        <w:tabs>
          <w:tab w:val="num" w:pos="720"/>
        </w:tabs>
        <w:ind w:left="720" w:hanging="720"/>
      </w:pPr>
    </w:lvl>
    <w:lvl w:ilvl="1">
      <w:start w:val="1"/>
      <w:numFmt w:val="decimal"/>
      <w:pStyle w:val="BulletsLevel1"/>
      <w:lvlText w:val="%2."/>
      <w:lvlJc w:val="left"/>
      <w:pPr>
        <w:tabs>
          <w:tab w:val="num" w:pos="1440"/>
        </w:tabs>
        <w:ind w:left="1440" w:hanging="720"/>
      </w:pPr>
    </w:lvl>
    <w:lvl w:ilvl="2">
      <w:start w:val="1"/>
      <w:numFmt w:val="decimal"/>
      <w:pStyle w:val="BulletsLevel2"/>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73F29B9"/>
    <w:multiLevelType w:val="multilevel"/>
    <w:tmpl w:val="CA9EA2C4"/>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6B126109"/>
    <w:multiLevelType w:val="multilevel"/>
    <w:tmpl w:val="DD86FE14"/>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6F363A1C"/>
    <w:multiLevelType w:val="multilevel"/>
    <w:tmpl w:val="26B65FB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0"/>
  </w:num>
  <w:num w:numId="2">
    <w:abstractNumId w:val="3"/>
  </w:num>
  <w:num w:numId="3">
    <w:abstractNumId w:val="5"/>
  </w:num>
  <w:num w:numId="4">
    <w:abstractNumId w:val="6"/>
  </w:num>
  <w:num w:numId="5">
    <w:abstractNumId w:val="7"/>
  </w:num>
  <w:num w:numId="6">
    <w:abstractNumId w:val="1"/>
  </w:num>
  <w:num w:numId="7">
    <w:abstractNumId w:val="2"/>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85F"/>
    <w:rsid w:val="000453F3"/>
    <w:rsid w:val="000B4CFD"/>
    <w:rsid w:val="000D0612"/>
    <w:rsid w:val="0028750C"/>
    <w:rsid w:val="00346CFD"/>
    <w:rsid w:val="003A3C52"/>
    <w:rsid w:val="003C060F"/>
    <w:rsid w:val="004B3601"/>
    <w:rsid w:val="00600E9F"/>
    <w:rsid w:val="00615D8E"/>
    <w:rsid w:val="00665111"/>
    <w:rsid w:val="006D1863"/>
    <w:rsid w:val="00751535"/>
    <w:rsid w:val="008810EB"/>
    <w:rsid w:val="008942AE"/>
    <w:rsid w:val="008A5B7C"/>
    <w:rsid w:val="00B759AD"/>
    <w:rsid w:val="00BD1A53"/>
    <w:rsid w:val="00C13BCF"/>
    <w:rsid w:val="00C34C39"/>
    <w:rsid w:val="00C45A95"/>
    <w:rsid w:val="00D2585F"/>
    <w:rsid w:val="00D66B0B"/>
    <w:rsid w:val="00DC5E87"/>
    <w:rsid w:val="00F311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4431E"/>
  <w15:docId w15:val="{6BA5C182-0980-2344-BF5A-2BD001FCC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11"/>
      </w:numPr>
    </w:pPr>
  </w:style>
  <w:style w:type="paragraph" w:customStyle="1" w:styleId="AppendixText5">
    <w:name w:val="Appendix Text 5"/>
    <w:basedOn w:val="Normal"/>
    <w:rsid w:val="00666034"/>
    <w:pPr>
      <w:numPr>
        <w:ilvl w:val="4"/>
        <w:numId w:val="11"/>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nEhLYyNgrXqjs4BhZ75HfTVs6TQ==">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</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xsi:nil="true"/>
    <lae2bfa7b6474897ab4a53f76ea236c7 xmlns="779eeb12-8c02-43df-a0db-4c4a66cb1f04">
      <Terms xmlns="http://schemas.microsoft.com/office/infopath/2007/PartnerControls"/>
    </lae2bfa7b6474897ab4a53f76ea236c7>
    <i8d248d2f27048728597da4d9cc9bde9 xmlns="60b4899e-55b4-4231-8241-12d69350e134" xsi:nil="true"/>
    <ie640504e2964b25856743efbfa846d6 xmlns="60b4899e-55b4-4231-8241-12d69350e134">
      <Terms xmlns="http://schemas.microsoft.com/office/infopath/2007/PartnerControls"/>
    </ie640504e2964b25856743efbfa846d6>
    <id2a76e1917c4be6961e12b425f79256 xmlns="60b4899e-55b4-4231-8241-12d69350e134">
      <Terms xmlns="http://schemas.microsoft.com/office/infopath/2007/PartnerControls"/>
    </id2a76e1917c4be6961e12b425f79256>
    <HOMigrated xmlns="60b4899e-55b4-4231-8241-12d69350e134" xsi:nil="true"/>
    <HOworkspaceType xmlns="60b4899e-55b4-4231-8241-12d69350e134" xsi:nil="tru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6F5C9E-9DB9-42FB-9F5D-41DDBC0CC0AE}">
  <ds:schemaRefs>
    <ds:schemaRef ds:uri="http://schemas.microsoft.com/sharepoint/v3/contenttype/forms"/>
  </ds:schemaRefs>
</ds:datastoreItem>
</file>

<file path=customXml/itemProps2.xml><?xml version="1.0" encoding="utf-8"?>
<ds:datastoreItem xmlns:ds="http://schemas.openxmlformats.org/officeDocument/2006/customXml" ds:itemID="{9091E85F-3E63-48AB-B420-EF8C52D0081F}"/>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D8476F8-A58B-48E0-8DA6-6C5A0DBC7060}">
  <ds:schemaRefs>
    <ds:schemaRef ds:uri="http://schemas.microsoft.com/office/2006/metadata/properties"/>
    <ds:schemaRef ds:uri="http://schemas.microsoft.com/office/infopath/2007/PartnerControls"/>
    <ds:schemaRef ds:uri="779eeb12-8c02-43df-a0db-4c4a66cb1f04"/>
    <ds:schemaRef ds:uri="60b4899e-55b4-4231-8241-12d69350e13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5576</Words>
  <Characters>31789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Tracy Starr</cp:lastModifiedBy>
  <cp:revision>6</cp:revision>
  <dcterms:created xsi:type="dcterms:W3CDTF">2025-03-26T12:41:00Z</dcterms:created>
  <dcterms:modified xsi:type="dcterms:W3CDTF">2025-12-18T10:55:00Z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0x010100A5BF1C78D9F64B679A5EBDE1C6598EBC0100CC42F60AA7789749A5588C8BDD2261FE</vt:lpwstr>
  </property>
  <property fmtid="{D5CDD505-2E9C-101B-9397-08002B2CF9AE}" pid="4" name="HOBusinessUnit">
    <vt:lpwstr/>
  </property>
  <property fmtid="{D5CDD505-2E9C-101B-9397-08002B2CF9AE}" pid="5" name="HOCopyrightLevel">
    <vt:lpwstr/>
  </property>
  <property fmtid="{D5CDD505-2E9C-101B-9397-08002B2CF9AE}" pid="6" name="HOGovernmentSecurityClassification">
    <vt:lpwstr/>
  </property>
</Properties>
</file>